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03920" w14:textId="0134CBFE" w:rsidR="00F04303" w:rsidRPr="0001415A" w:rsidRDefault="00F04303" w:rsidP="00F04303">
      <w:pPr>
        <w:tabs>
          <w:tab w:val="center" w:pos="4536"/>
          <w:tab w:val="right" w:pos="9356"/>
          <w:tab w:val="right" w:pos="9639"/>
        </w:tabs>
        <w:spacing w:after="0"/>
        <w:rPr>
          <w:rFonts w:ascii="Arial" w:hAnsi="Arial" w:cs="Arial"/>
          <w:b/>
          <w:bCs/>
          <w:sz w:val="24"/>
          <w:lang w:val="en-US"/>
        </w:rPr>
      </w:pPr>
      <w:bookmarkStart w:id="0" w:name="_Hlk528952890"/>
      <w:r>
        <w:rPr>
          <w:rFonts w:ascii="Arial" w:hAnsi="Arial" w:cs="Arial"/>
          <w:b/>
          <w:bCs/>
          <w:sz w:val="24"/>
          <w:lang w:val="en-US"/>
        </w:rPr>
        <w:t>3GPP TSG RAN WG1 Meeting #9</w:t>
      </w:r>
      <w:r w:rsidR="005624E2">
        <w:rPr>
          <w:rFonts w:ascii="Arial" w:hAnsi="Arial" w:cs="Arial"/>
          <w:b/>
          <w:bCs/>
          <w:sz w:val="24"/>
          <w:lang w:val="en-US"/>
        </w:rPr>
        <w:t>7</w:t>
      </w:r>
      <w:r>
        <w:rPr>
          <w:rFonts w:ascii="Arial" w:hAnsi="Arial" w:cs="Arial"/>
          <w:b/>
          <w:bCs/>
          <w:sz w:val="24"/>
          <w:lang w:val="en-US"/>
        </w:rPr>
        <w:tab/>
      </w:r>
      <w:r w:rsidRPr="0001415A">
        <w:rPr>
          <w:rFonts w:ascii="Arial" w:eastAsia="MS Mincho" w:hAnsi="Arial" w:cs="Arial"/>
          <w:b/>
          <w:bCs/>
          <w:sz w:val="24"/>
          <w:lang w:val="en-US" w:eastAsia="ja-JP"/>
        </w:rPr>
        <w:tab/>
      </w:r>
      <w:r w:rsidRPr="0001415A">
        <w:rPr>
          <w:rFonts w:ascii="Arial" w:hAnsi="Arial" w:cs="Arial"/>
          <w:b/>
          <w:bCs/>
          <w:sz w:val="24"/>
          <w:lang w:val="en-US"/>
        </w:rPr>
        <w:t>R1-</w:t>
      </w:r>
      <w:r w:rsidR="00057102">
        <w:rPr>
          <w:rFonts w:ascii="Arial" w:hAnsi="Arial" w:cs="Arial"/>
          <w:b/>
          <w:bCs/>
          <w:sz w:val="24"/>
          <w:lang w:val="en-US"/>
        </w:rPr>
        <w:t>190</w:t>
      </w:r>
      <w:r w:rsidR="009D5DD0">
        <w:rPr>
          <w:rFonts w:ascii="Arial" w:hAnsi="Arial" w:cs="Arial"/>
          <w:b/>
          <w:bCs/>
          <w:sz w:val="24"/>
          <w:lang w:val="en-US"/>
        </w:rPr>
        <w:t>7719</w:t>
      </w:r>
      <w:bookmarkStart w:id="1" w:name="_GoBack"/>
      <w:bookmarkEnd w:id="1"/>
    </w:p>
    <w:p w14:paraId="66A0F040" w14:textId="77777777" w:rsidR="005624E2" w:rsidRPr="005A04FB" w:rsidRDefault="005624E2" w:rsidP="005624E2">
      <w:pPr>
        <w:pStyle w:val="Header"/>
        <w:rPr>
          <w:rFonts w:eastAsia="MS Mincho" w:cs="Arial"/>
          <w:bCs/>
          <w:noProof w:val="0"/>
          <w:sz w:val="24"/>
          <w:lang w:val="en-GB" w:eastAsia="ja-JP"/>
        </w:rPr>
      </w:pPr>
      <w:r w:rsidRPr="005A04FB">
        <w:rPr>
          <w:rFonts w:eastAsia="MS Mincho" w:cs="Arial"/>
          <w:bCs/>
          <w:noProof w:val="0"/>
          <w:sz w:val="24"/>
          <w:lang w:val="en-GB" w:eastAsia="ja-JP"/>
        </w:rPr>
        <w:t>Reno, USA, May 13</w:t>
      </w:r>
      <w:r w:rsidRPr="005A04FB">
        <w:rPr>
          <w:rFonts w:eastAsia="MS Mincho" w:cs="Arial"/>
          <w:bCs/>
          <w:noProof w:val="0"/>
          <w:sz w:val="24"/>
          <w:vertAlign w:val="superscript"/>
          <w:lang w:val="en-GB" w:eastAsia="ja-JP"/>
        </w:rPr>
        <w:t>th</w:t>
      </w:r>
      <w:r w:rsidRPr="005A04FB">
        <w:rPr>
          <w:rFonts w:eastAsia="MS Mincho" w:cs="Arial"/>
          <w:bCs/>
          <w:noProof w:val="0"/>
          <w:sz w:val="24"/>
          <w:lang w:val="en-GB" w:eastAsia="ja-JP"/>
        </w:rPr>
        <w:t xml:space="preserve"> – May 17</w:t>
      </w:r>
      <w:r w:rsidRPr="005A04FB">
        <w:rPr>
          <w:rFonts w:eastAsia="MS Mincho" w:cs="Arial"/>
          <w:bCs/>
          <w:noProof w:val="0"/>
          <w:sz w:val="24"/>
          <w:vertAlign w:val="superscript"/>
          <w:lang w:val="en-GB" w:eastAsia="ja-JP"/>
        </w:rPr>
        <w:t>th</w:t>
      </w:r>
      <w:r w:rsidRPr="005A04FB">
        <w:rPr>
          <w:rFonts w:eastAsia="MS Mincho" w:cs="Arial"/>
          <w:bCs/>
          <w:noProof w:val="0"/>
          <w:sz w:val="24"/>
          <w:lang w:val="en-GB" w:eastAsia="ja-JP"/>
        </w:rPr>
        <w:t>, 2019</w:t>
      </w:r>
    </w:p>
    <w:p w14:paraId="518BF020" w14:textId="77777777" w:rsidR="00F04303" w:rsidRPr="005624E2" w:rsidRDefault="00F04303" w:rsidP="00F04303">
      <w:pPr>
        <w:pStyle w:val="Header"/>
        <w:rPr>
          <w:bCs/>
          <w:noProof w:val="0"/>
          <w:sz w:val="24"/>
          <w:lang w:val="en-GB" w:eastAsia="ja-JP"/>
        </w:rPr>
      </w:pPr>
    </w:p>
    <w:p w14:paraId="0087D000" w14:textId="40B9F0CA" w:rsidR="00F04303" w:rsidRPr="0001415A" w:rsidRDefault="00F04303" w:rsidP="00F04303">
      <w:pPr>
        <w:pStyle w:val="CRCoverPage"/>
        <w:rPr>
          <w:rFonts w:cs="Arial"/>
          <w:b/>
          <w:bCs/>
          <w:sz w:val="24"/>
          <w:lang w:val="en-US" w:eastAsia="ja-JP"/>
        </w:rPr>
      </w:pPr>
      <w:r>
        <w:rPr>
          <w:rFonts w:cs="Arial"/>
          <w:b/>
          <w:bCs/>
          <w:sz w:val="24"/>
          <w:lang w:val="en-US"/>
        </w:rPr>
        <w:t xml:space="preserve">Agenda item:       </w:t>
      </w:r>
      <w:r w:rsidRPr="001332F8">
        <w:rPr>
          <w:rFonts w:cs="Arial"/>
          <w:b/>
          <w:bCs/>
          <w:sz w:val="24"/>
          <w:lang w:val="en-US"/>
        </w:rPr>
        <w:t>7.2.8.</w:t>
      </w:r>
      <w:r w:rsidR="005624E2">
        <w:rPr>
          <w:rFonts w:cs="Arial"/>
          <w:b/>
          <w:bCs/>
          <w:sz w:val="24"/>
          <w:lang w:val="en-US"/>
        </w:rPr>
        <w:t>5</w:t>
      </w:r>
    </w:p>
    <w:p w14:paraId="75433157" w14:textId="77777777" w:rsidR="00F04303" w:rsidRPr="0001415A" w:rsidRDefault="00F04303" w:rsidP="00F04303">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t xml:space="preserve">Nokia, </w:t>
      </w:r>
      <w:r w:rsidRPr="00C27E2F">
        <w:rPr>
          <w:rFonts w:ascii="Arial" w:hAnsi="Arial" w:cs="Arial"/>
          <w:b/>
          <w:bCs/>
          <w:sz w:val="24"/>
          <w:lang w:val="en-US"/>
        </w:rPr>
        <w:t>Nokia Shanghai Bell</w:t>
      </w:r>
    </w:p>
    <w:p w14:paraId="2DC8D04B" w14:textId="4332534C" w:rsidR="00F04303" w:rsidRPr="0001415A" w:rsidRDefault="00F04303" w:rsidP="00F04303">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bookmarkStart w:id="2" w:name="_Hlk5823103"/>
      <w:r>
        <w:rPr>
          <w:rFonts w:ascii="Arial" w:hAnsi="Arial" w:cs="Arial"/>
          <w:b/>
          <w:bCs/>
          <w:sz w:val="24"/>
          <w:lang w:val="en-US"/>
        </w:rPr>
        <w:t>On</w:t>
      </w:r>
      <w:r w:rsidR="004A0CA2">
        <w:rPr>
          <w:rFonts w:ascii="Arial" w:hAnsi="Arial" w:cs="Arial"/>
          <w:b/>
          <w:bCs/>
          <w:sz w:val="24"/>
          <w:lang w:val="en-US"/>
        </w:rPr>
        <w:t xml:space="preserve"> </w:t>
      </w:r>
      <w:bookmarkEnd w:id="2"/>
      <w:r w:rsidR="00F903CD">
        <w:rPr>
          <w:rFonts w:ascii="Arial" w:hAnsi="Arial" w:cs="Arial"/>
          <w:b/>
          <w:bCs/>
          <w:sz w:val="24"/>
          <w:lang w:val="en-US"/>
        </w:rPr>
        <w:t xml:space="preserve">the proposals for Rel-16 codebook strongest coefficient indicator </w:t>
      </w:r>
    </w:p>
    <w:p w14:paraId="0BEB8BAA" w14:textId="5F60798D" w:rsidR="00F04303" w:rsidRPr="0001415A" w:rsidRDefault="00F04303" w:rsidP="00F04303">
      <w:pPr>
        <w:rPr>
          <w:rFonts w:ascii="Arial" w:hAnsi="Arial" w:cs="Arial"/>
          <w:b/>
          <w:bCs/>
          <w:sz w:val="24"/>
          <w:lang w:val="en-US"/>
        </w:rPr>
      </w:pPr>
      <w:r>
        <w:rPr>
          <w:rFonts w:ascii="Arial" w:hAnsi="Arial" w:cs="Arial"/>
          <w:b/>
          <w:bCs/>
          <w:sz w:val="24"/>
          <w:lang w:val="en-US"/>
        </w:rPr>
        <w:t xml:space="preserve">Document for:     </w:t>
      </w:r>
      <w:r w:rsidRPr="0001415A">
        <w:rPr>
          <w:rFonts w:ascii="Arial" w:hAnsi="Arial" w:cs="Arial"/>
          <w:b/>
          <w:bCs/>
          <w:sz w:val="24"/>
          <w:lang w:val="en-US"/>
        </w:rPr>
        <w:t>Discussion</w:t>
      </w:r>
    </w:p>
    <w:bookmarkEnd w:id="0"/>
    <w:p w14:paraId="288FC3AC" w14:textId="75CC7FB9" w:rsidR="00F903CD" w:rsidRPr="00F903CD" w:rsidRDefault="00F903CD" w:rsidP="00F903CD">
      <w:pPr>
        <w:pStyle w:val="Heading1"/>
        <w:ind w:left="0" w:firstLine="0"/>
        <w:rPr>
          <w:lang w:val="en-US"/>
        </w:rPr>
      </w:pPr>
      <w:r>
        <w:rPr>
          <w:b/>
          <w:bCs/>
          <w:lang w:val="en-US"/>
        </w:rPr>
        <w:t>1</w:t>
      </w:r>
      <w:r w:rsidR="006573F0">
        <w:rPr>
          <w:b/>
          <w:bCs/>
          <w:lang w:val="en-US"/>
        </w:rPr>
        <w:tab/>
        <w:t xml:space="preserve"> </w:t>
      </w:r>
      <w:r>
        <w:rPr>
          <w:b/>
          <w:bCs/>
          <w:lang w:val="en-US"/>
        </w:rPr>
        <w:t>Introduction</w:t>
      </w:r>
    </w:p>
    <w:p w14:paraId="2E5270CE" w14:textId="7BB72C7A" w:rsidR="00F903CD" w:rsidRPr="00F903CD" w:rsidRDefault="00F903CD" w:rsidP="00F903CD">
      <w:pPr>
        <w:rPr>
          <w:rStyle w:val="Emphasis"/>
          <w:i w:val="0"/>
        </w:rPr>
      </w:pPr>
      <w:r w:rsidRPr="00F903CD">
        <w:rPr>
          <w:rStyle w:val="Emphasis"/>
          <w:i w:val="0"/>
        </w:rPr>
        <w:t>The following agreement</w:t>
      </w:r>
      <w:r w:rsidR="00423570">
        <w:rPr>
          <w:rStyle w:val="Emphasis"/>
          <w:i w:val="0"/>
        </w:rPr>
        <w:t>s</w:t>
      </w:r>
      <w:r w:rsidRPr="00F903CD">
        <w:rPr>
          <w:rStyle w:val="Emphasis"/>
          <w:i w:val="0"/>
        </w:rPr>
        <w:t xml:space="preserve"> w</w:t>
      </w:r>
      <w:r w:rsidR="00423570">
        <w:rPr>
          <w:rStyle w:val="Emphasis"/>
          <w:i w:val="0"/>
        </w:rPr>
        <w:t>ere</w:t>
      </w:r>
      <w:r w:rsidRPr="00F903CD">
        <w:rPr>
          <w:rStyle w:val="Emphasis"/>
          <w:i w:val="0"/>
        </w:rPr>
        <w:t xml:space="preserve"> made in RAN1#96bis </w:t>
      </w:r>
      <w:r>
        <w:rPr>
          <w:rStyle w:val="Emphasis"/>
          <w:i w:val="0"/>
        </w:rPr>
        <w:t>[1]</w:t>
      </w:r>
      <w:r w:rsidRPr="00F903CD">
        <w:rPr>
          <w:rStyle w:val="Emphasis"/>
          <w:i w:val="0"/>
        </w:rPr>
        <w:t>.</w:t>
      </w:r>
    </w:p>
    <w:tbl>
      <w:tblPr>
        <w:tblStyle w:val="TableGrid"/>
        <w:tblW w:w="0" w:type="auto"/>
        <w:tblLook w:val="04A0" w:firstRow="1" w:lastRow="0" w:firstColumn="1" w:lastColumn="0" w:noHBand="0" w:noVBand="1"/>
      </w:tblPr>
      <w:tblGrid>
        <w:gridCol w:w="9629"/>
      </w:tblGrid>
      <w:tr w:rsidR="00F903CD" w14:paraId="0BB2CFE8" w14:textId="77777777" w:rsidTr="00217320">
        <w:tc>
          <w:tcPr>
            <w:tcW w:w="9629" w:type="dxa"/>
            <w:tcBorders>
              <w:top w:val="single" w:sz="4" w:space="0" w:color="000000"/>
              <w:left w:val="single" w:sz="4" w:space="0" w:color="000000"/>
              <w:bottom w:val="single" w:sz="4" w:space="0" w:color="000000"/>
              <w:right w:val="single" w:sz="4" w:space="0" w:color="000000"/>
            </w:tcBorders>
          </w:tcPr>
          <w:p w14:paraId="45F17896" w14:textId="77777777" w:rsidR="00423570" w:rsidRPr="00851C00" w:rsidRDefault="00423570" w:rsidP="00423570">
            <w:pPr>
              <w:overflowPunct/>
              <w:autoSpaceDE/>
              <w:autoSpaceDN/>
              <w:adjustRightInd/>
              <w:spacing w:after="0"/>
              <w:textAlignment w:val="auto"/>
              <w:rPr>
                <w:rFonts w:ascii="Times" w:eastAsia="Batang" w:hAnsi="Times"/>
                <w:b/>
                <w:szCs w:val="24"/>
                <w:highlight w:val="green"/>
                <w:lang w:eastAsia="x-none"/>
              </w:rPr>
            </w:pPr>
            <w:r w:rsidRPr="00851C00">
              <w:rPr>
                <w:rFonts w:ascii="Times" w:eastAsia="Batang" w:hAnsi="Times"/>
                <w:b/>
                <w:szCs w:val="24"/>
                <w:highlight w:val="green"/>
                <w:lang w:eastAsia="x-none"/>
              </w:rPr>
              <w:t>Agreement</w:t>
            </w:r>
          </w:p>
          <w:p w14:paraId="5BABDDA5" w14:textId="77777777" w:rsidR="00423570" w:rsidRPr="00851C00" w:rsidRDefault="00423570" w:rsidP="00423570">
            <w:pPr>
              <w:overflowPunct/>
              <w:autoSpaceDE/>
              <w:autoSpaceDN/>
              <w:adjustRightInd/>
              <w:spacing w:after="0"/>
              <w:jc w:val="both"/>
              <w:textAlignment w:val="auto"/>
              <w:rPr>
                <w:rFonts w:ascii="Times" w:eastAsia="Batang" w:hAnsi="Times"/>
                <w:szCs w:val="24"/>
              </w:rPr>
            </w:pPr>
            <w:r w:rsidRPr="005A04FB">
              <w:rPr>
                <w:rFonts w:ascii="Times" w:eastAsia="Batang" w:hAnsi="Times"/>
                <w:szCs w:val="24"/>
              </w:rPr>
              <w:t xml:space="preserve">On RI=3-4 extension, with the agreed </w:t>
            </w:r>
            <w:r w:rsidRPr="00851C00">
              <w:rPr>
                <w:rFonts w:ascii="Times" w:eastAsia="Batang" w:hAnsi="Times"/>
                <w:szCs w:val="24"/>
              </w:rPr>
              <w:t xml:space="preserve">total max # NZ coefficients across all layers </w:t>
            </w:r>
            <w:r w:rsidRPr="00851C00">
              <w:rPr>
                <w:rFonts w:ascii="Times" w:eastAsia="Batang" w:hAnsi="Times" w:hint="eastAsia"/>
                <w:szCs w:val="24"/>
              </w:rPr>
              <w:t>≤</w:t>
            </w:r>
            <w:r w:rsidRPr="00851C00">
              <w:rPr>
                <w:rFonts w:ascii="Times" w:eastAsia="Batang" w:hAnsi="Times"/>
                <w:szCs w:val="24"/>
              </w:rPr>
              <w:t xml:space="preserve"> 2</w:t>
            </w:r>
            <w:r w:rsidRPr="00851C00">
              <w:rPr>
                <w:rFonts w:ascii="Times" w:eastAsia="Batang" w:hAnsi="Times"/>
                <w:i/>
                <w:iCs/>
                <w:szCs w:val="24"/>
              </w:rPr>
              <w:t>K</w:t>
            </w:r>
            <w:r w:rsidRPr="00851C00">
              <w:rPr>
                <w:rFonts w:ascii="Times" w:eastAsia="Batang" w:hAnsi="Times"/>
                <w:i/>
                <w:iCs/>
                <w:szCs w:val="24"/>
                <w:vertAlign w:val="subscript"/>
              </w:rPr>
              <w:t>0</w:t>
            </w:r>
            <w:r w:rsidRPr="005A04FB">
              <w:rPr>
                <w:rFonts w:ascii="Times" w:eastAsia="Batang" w:hAnsi="Times"/>
                <w:szCs w:val="24"/>
              </w:rPr>
              <w:t xml:space="preserve"> where the </w:t>
            </w:r>
            <w:r w:rsidRPr="00851C00">
              <w:rPr>
                <w:rFonts w:ascii="Times" w:eastAsia="Batang" w:hAnsi="Times"/>
                <w:i/>
                <w:iCs/>
                <w:szCs w:val="24"/>
              </w:rPr>
              <w:t>K</w:t>
            </w:r>
            <w:r w:rsidRPr="00851C00">
              <w:rPr>
                <w:rFonts w:ascii="Times" w:eastAsia="Batang" w:hAnsi="Times"/>
                <w:i/>
                <w:iCs/>
                <w:szCs w:val="24"/>
                <w:vertAlign w:val="subscript"/>
              </w:rPr>
              <w:t>0</w:t>
            </w:r>
            <w:r w:rsidRPr="005A04FB">
              <w:rPr>
                <w:rFonts w:ascii="Times" w:eastAsia="Batang" w:hAnsi="Times"/>
                <w:szCs w:val="24"/>
              </w:rPr>
              <w:t xml:space="preserve"> value (hence </w:t>
            </w:r>
            <w:r w:rsidRPr="005A04FB">
              <w:rPr>
                <w:rFonts w:ascii="Times" w:eastAsia="Batang" w:hAnsi="Times" w:cs="Times"/>
                <w:i/>
                <w:szCs w:val="24"/>
              </w:rPr>
              <w:t>β</w:t>
            </w:r>
            <w:r w:rsidRPr="005A04FB">
              <w:rPr>
                <w:rFonts w:ascii="Times" w:eastAsia="Batang" w:hAnsi="Times"/>
                <w:szCs w:val="24"/>
              </w:rPr>
              <w:t xml:space="preserve">) set for </w:t>
            </w:r>
            <w:r w:rsidRPr="00851C00">
              <w:rPr>
                <w:rFonts w:ascii="Times" w:eastAsia="Batang" w:hAnsi="Times"/>
                <w:szCs w:val="24"/>
              </w:rPr>
              <w:t>RI</w:t>
            </w:r>
            <w:r w:rsidRPr="00851C00">
              <w:rPr>
                <w:rFonts w:ascii="Times" w:eastAsia="Batang" w:hAnsi="Times"/>
                <w:szCs w:val="24"/>
              </w:rPr>
              <w:sym w:font="Symbol" w:char="F0CE"/>
            </w:r>
            <w:r w:rsidRPr="00851C00">
              <w:rPr>
                <w:rFonts w:ascii="Times" w:eastAsia="Batang" w:hAnsi="Times"/>
                <w:szCs w:val="24"/>
              </w:rPr>
              <w:t>{1,2}, the scheme for determining the # NZC per layer will be chosen from the following alternatives in RAN1#97 (Reno):</w:t>
            </w:r>
          </w:p>
          <w:p w14:paraId="26EF10F9" w14:textId="77777777" w:rsidR="00423570" w:rsidRDefault="00423570" w:rsidP="00217320">
            <w:pPr>
              <w:numPr>
                <w:ilvl w:val="0"/>
                <w:numId w:val="9"/>
              </w:numPr>
              <w:overflowPunct/>
              <w:autoSpaceDE/>
              <w:autoSpaceDN/>
              <w:adjustRightInd/>
              <w:spacing w:after="0"/>
              <w:jc w:val="both"/>
              <w:textAlignment w:val="auto"/>
              <w:rPr>
                <w:rFonts w:ascii="Times" w:eastAsia="Batang" w:hAnsi="Times"/>
                <w:szCs w:val="24"/>
                <w:lang w:eastAsia="x-none"/>
              </w:rPr>
            </w:pPr>
            <w:r w:rsidRPr="005A04FB">
              <w:rPr>
                <w:rFonts w:ascii="Times" w:eastAsia="Batang" w:hAnsi="Times"/>
                <w:szCs w:val="24"/>
                <w:lang w:eastAsia="x-none"/>
              </w:rPr>
              <w:t xml:space="preserve">Alt0. </w:t>
            </w:r>
            <w:r w:rsidRPr="005A04FB">
              <w:rPr>
                <w:rFonts w:ascii="Times" w:eastAsia="Batang" w:hAnsi="Times"/>
                <w:i/>
                <w:szCs w:val="24"/>
                <w:lang w:eastAsia="x-none"/>
              </w:rPr>
              <w:t>K</w:t>
            </w:r>
            <w:r w:rsidRPr="005A04FB">
              <w:rPr>
                <w:rFonts w:ascii="Times" w:eastAsia="Batang" w:hAnsi="Times"/>
                <w:i/>
                <w:szCs w:val="24"/>
                <w:vertAlign w:val="subscript"/>
                <w:lang w:eastAsia="x-none"/>
              </w:rPr>
              <w:t>NZ,i</w:t>
            </w:r>
            <w:r w:rsidRPr="00851C00">
              <w:rPr>
                <w:rFonts w:ascii="Times" w:eastAsia="Batang" w:hAnsi="Times"/>
                <w:szCs w:val="24"/>
                <w:lang w:eastAsia="x-none"/>
              </w:rPr>
              <w:t xml:space="preserve"> is unrestricted as long as </w:t>
            </w:r>
            <w:r w:rsidRPr="00234BB4">
              <w:rPr>
                <w:rFonts w:ascii="Times" w:eastAsia="Batang" w:hAnsi="Times"/>
                <w:noProof/>
                <w:position w:val="-14"/>
                <w:lang w:eastAsia="x-none"/>
              </w:rPr>
              <w:drawing>
                <wp:inline distT="0" distB="0" distL="0" distR="0" wp14:anchorId="30CCD998" wp14:editId="3DC46EA4">
                  <wp:extent cx="11430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254000"/>
                          </a:xfrm>
                          <a:prstGeom prst="rect">
                            <a:avLst/>
                          </a:prstGeom>
                          <a:noFill/>
                          <a:ln>
                            <a:noFill/>
                          </a:ln>
                        </pic:spPr>
                      </pic:pic>
                    </a:graphicData>
                  </a:graphic>
                </wp:inline>
              </w:drawing>
            </w:r>
            <w:r w:rsidRPr="005A04FB">
              <w:rPr>
                <w:rFonts w:ascii="Times" w:eastAsia="Batang" w:hAnsi="Times"/>
                <w:szCs w:val="24"/>
                <w:lang w:eastAsia="x-none"/>
              </w:rPr>
              <w:fldChar w:fldCharType="begin"/>
            </w:r>
            <w:r w:rsidRPr="005A04FB">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hint="eastAsia"/>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5A04FB">
              <w:rPr>
                <w:rFonts w:ascii="Times" w:eastAsia="Batang" w:hAnsi="Times"/>
                <w:szCs w:val="24"/>
                <w:lang w:eastAsia="x-none"/>
              </w:rPr>
              <w:instrText xml:space="preserve"> </w:instrText>
            </w:r>
            <w:r w:rsidRPr="005A04FB">
              <w:rPr>
                <w:rFonts w:ascii="Times" w:eastAsia="Batang" w:hAnsi="Times"/>
                <w:szCs w:val="24"/>
                <w:lang w:eastAsia="x-none"/>
              </w:rPr>
              <w:fldChar w:fldCharType="end"/>
            </w:r>
          </w:p>
          <w:p w14:paraId="71DC2CCC" w14:textId="67684A16" w:rsidR="00423570" w:rsidRPr="00423570" w:rsidRDefault="00423570" w:rsidP="00217320">
            <w:pPr>
              <w:numPr>
                <w:ilvl w:val="0"/>
                <w:numId w:val="9"/>
              </w:numPr>
              <w:overflowPunct/>
              <w:autoSpaceDE/>
              <w:autoSpaceDN/>
              <w:adjustRightInd/>
              <w:spacing w:after="0"/>
              <w:jc w:val="both"/>
              <w:textAlignment w:val="auto"/>
              <w:rPr>
                <w:rFonts w:ascii="Times" w:eastAsia="Batang" w:hAnsi="Times"/>
                <w:szCs w:val="24"/>
                <w:lang w:eastAsia="x-none"/>
              </w:rPr>
            </w:pPr>
            <w:r w:rsidRPr="00423570">
              <w:rPr>
                <w:rFonts w:ascii="Times" w:eastAsia="Batang" w:hAnsi="Times"/>
                <w:szCs w:val="24"/>
                <w:lang w:eastAsia="x-none"/>
              </w:rPr>
              <w:t xml:space="preserve">Alt1. </w:t>
            </w:r>
            <w:r w:rsidRPr="00423570">
              <w:rPr>
                <w:rFonts w:ascii="Times" w:eastAsia="Batang" w:hAnsi="Times"/>
                <w:i/>
                <w:szCs w:val="24"/>
                <w:lang w:eastAsia="x-none"/>
              </w:rPr>
              <w:t>K</w:t>
            </w:r>
            <w:r w:rsidRPr="00423570">
              <w:rPr>
                <w:rFonts w:ascii="Times" w:eastAsia="Batang" w:hAnsi="Times"/>
                <w:i/>
                <w:szCs w:val="24"/>
                <w:vertAlign w:val="subscript"/>
                <w:lang w:eastAsia="x-none"/>
              </w:rPr>
              <w:t>NZ,i</w:t>
            </w:r>
            <w:r w:rsidRPr="00423570">
              <w:rPr>
                <w:rFonts w:ascii="Times" w:eastAsia="Batang" w:hAnsi="Times" w:cs="Times" w:hint="eastAsia"/>
                <w:szCs w:val="24"/>
                <w:lang w:eastAsia="x-none"/>
              </w:rPr>
              <w:t>≤</w:t>
            </w:r>
            <w:r w:rsidRPr="00423570">
              <w:rPr>
                <w:rFonts w:ascii="Times" w:eastAsia="Batang" w:hAnsi="Times"/>
                <w:i/>
                <w:szCs w:val="24"/>
                <w:lang w:eastAsia="x-none"/>
              </w:rPr>
              <w:t>K</w:t>
            </w:r>
            <w:r w:rsidRPr="00423570">
              <w:rPr>
                <w:rFonts w:ascii="Times" w:eastAsia="Batang" w:hAnsi="Times"/>
                <w:i/>
                <w:szCs w:val="24"/>
                <w:vertAlign w:val="subscript"/>
                <w:lang w:eastAsia="x-none"/>
              </w:rPr>
              <w:t>0</w:t>
            </w:r>
            <w:r w:rsidRPr="00423570">
              <w:rPr>
                <w:rFonts w:ascii="Times" w:eastAsia="Batang" w:hAnsi="Times"/>
                <w:szCs w:val="24"/>
                <w:lang w:eastAsia="x-none"/>
              </w:rPr>
              <w:t xml:space="preserve"> as long as </w:t>
            </w:r>
            <w:r w:rsidRPr="00423570">
              <w:rPr>
                <w:rFonts w:ascii="Times" w:eastAsia="Batang" w:hAnsi="Times"/>
                <w:szCs w:val="24"/>
                <w:lang w:eastAsia="x-none"/>
              </w:rPr>
              <w:fldChar w:fldCharType="begin"/>
            </w:r>
            <w:r w:rsidRPr="00423570">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hint="eastAsia"/>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423570">
              <w:rPr>
                <w:rFonts w:ascii="Times" w:eastAsia="Batang" w:hAnsi="Times"/>
                <w:szCs w:val="24"/>
                <w:lang w:eastAsia="x-none"/>
              </w:rPr>
              <w:instrText xml:space="preserve"> </w:instrText>
            </w:r>
            <w:r w:rsidRPr="00423570">
              <w:rPr>
                <w:rFonts w:ascii="Times" w:eastAsia="Batang" w:hAnsi="Times"/>
                <w:szCs w:val="24"/>
                <w:lang w:eastAsia="x-none"/>
              </w:rPr>
              <w:fldChar w:fldCharType="end"/>
            </w:r>
            <w:r w:rsidRPr="00234BB4">
              <w:rPr>
                <w:rFonts w:ascii="Times" w:eastAsia="Batang" w:hAnsi="Times"/>
                <w:noProof/>
                <w:position w:val="-14"/>
                <w:lang w:eastAsia="x-none"/>
              </w:rPr>
              <w:drawing>
                <wp:inline distT="0" distB="0" distL="0" distR="0" wp14:anchorId="33D55BED" wp14:editId="1B345E7A">
                  <wp:extent cx="1143000" cy="25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254000"/>
                          </a:xfrm>
                          <a:prstGeom prst="rect">
                            <a:avLst/>
                          </a:prstGeom>
                          <a:noFill/>
                          <a:ln>
                            <a:noFill/>
                          </a:ln>
                        </pic:spPr>
                      </pic:pic>
                    </a:graphicData>
                  </a:graphic>
                </wp:inline>
              </w:drawing>
            </w:r>
          </w:p>
          <w:p w14:paraId="6A772402" w14:textId="77777777" w:rsidR="00423570" w:rsidRDefault="00423570" w:rsidP="00217320">
            <w:pPr>
              <w:rPr>
                <w:b/>
                <w:highlight w:val="green"/>
                <w:lang w:eastAsia="x-none"/>
              </w:rPr>
            </w:pPr>
          </w:p>
          <w:p w14:paraId="2BBE6814" w14:textId="27B8A69A" w:rsidR="00F903CD" w:rsidRPr="00903F2A" w:rsidRDefault="00F903CD" w:rsidP="00217320">
            <w:pPr>
              <w:rPr>
                <w:b/>
                <w:highlight w:val="green"/>
                <w:lang w:eastAsia="x-none"/>
              </w:rPr>
            </w:pPr>
            <w:r w:rsidRPr="00903F2A">
              <w:rPr>
                <w:b/>
                <w:highlight w:val="green"/>
                <w:lang w:eastAsia="x-none"/>
              </w:rPr>
              <w:t>Agreement</w:t>
            </w:r>
          </w:p>
          <w:p w14:paraId="42AB878E" w14:textId="77777777" w:rsidR="00F903CD" w:rsidRPr="006A3CE8" w:rsidRDefault="00F903CD" w:rsidP="00217320">
            <w:pPr>
              <w:rPr>
                <w:b/>
                <w:u w:val="single"/>
              </w:rPr>
            </w:pPr>
            <w:r w:rsidRPr="006A3CE8">
              <w:t>For RI=1, strongest coefficient indicator (SCI) is a</w:t>
            </w:r>
            <w:r>
              <w:t xml:space="preserve"> </w:t>
            </w:r>
            <w:r w:rsidRPr="00782CE5">
              <w:rPr>
                <w:position w:val="-16"/>
              </w:rPr>
              <w:object w:dxaOrig="1120" w:dyaOrig="440" w14:anchorId="3F763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22pt" o:ole="">
                  <v:imagedata r:id="rId9" o:title=""/>
                </v:shape>
                <o:OLEObject Type="Embed" ProgID="Equation.DSMT4" ShapeID="_x0000_i1025" DrawAspect="Content" ObjectID="_1619238298" r:id="rId10"/>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instrText xml:space="preserve"> </w:instrText>
            </w:r>
            <w:r w:rsidRPr="006A3CE8">
              <w:fldChar w:fldCharType="end"/>
            </w:r>
            <w:r w:rsidRPr="006A3CE8">
              <w:t xml:space="preserve">-bit indicator. For RI&gt;1, SCI design will be chosen from the following alternatives in RAN1#97 (Reno):  </w:t>
            </w:r>
          </w:p>
          <w:p w14:paraId="497C2695" w14:textId="77777777" w:rsidR="00F903CD" w:rsidRPr="00B756FC" w:rsidRDefault="00F903CD" w:rsidP="00F903CD">
            <w:pPr>
              <w:pStyle w:val="ListParagraph"/>
              <w:numPr>
                <w:ilvl w:val="0"/>
                <w:numId w:val="7"/>
              </w:numPr>
              <w:contextualSpacing w:val="0"/>
              <w:jc w:val="both"/>
              <w:rPr>
                <w:sz w:val="20"/>
                <w:szCs w:val="20"/>
              </w:rPr>
            </w:pPr>
            <w:r w:rsidRPr="00B756FC">
              <w:rPr>
                <w:sz w:val="20"/>
                <w:szCs w:val="20"/>
              </w:rPr>
              <w:t xml:space="preserve">Alt3.1 (applicable to Alt1.2): Per-layer SCI, where </w:t>
            </w:r>
            <w:r w:rsidRPr="00B756FC">
              <w:rPr>
                <w:i/>
                <w:sz w:val="20"/>
                <w:szCs w:val="20"/>
              </w:rPr>
              <w:t>SCI</w:t>
            </w:r>
            <w:r w:rsidRPr="00B756FC">
              <w:rPr>
                <w:i/>
                <w:sz w:val="20"/>
                <w:szCs w:val="20"/>
                <w:vertAlign w:val="subscript"/>
              </w:rPr>
              <w:t>i</w:t>
            </w:r>
            <w:r w:rsidRPr="00B756FC">
              <w:rPr>
                <w:sz w:val="20"/>
                <w:szCs w:val="20"/>
              </w:rPr>
              <w:t xml:space="preserve"> is a </w:t>
            </w:r>
            <w:r w:rsidRPr="00B756FC">
              <w:rPr>
                <w:position w:val="-16"/>
                <w:sz w:val="20"/>
                <w:szCs w:val="20"/>
              </w:rPr>
              <w:object w:dxaOrig="1219" w:dyaOrig="440" w14:anchorId="35A7B73A">
                <v:shape id="_x0000_i1026" type="#_x0000_t75" style="width:61pt;height:22pt" o:ole="">
                  <v:imagedata r:id="rId11" o:title=""/>
                </v:shape>
                <o:OLEObject Type="Embed" ProgID="Equation.DSMT4" ShapeID="_x0000_i1026" DrawAspect="Content" ObjectID="_1619238299" r:id="rId12"/>
              </w:object>
            </w:r>
            <w:r w:rsidRPr="00B756FC">
              <w:rPr>
                <w:sz w:val="20"/>
                <w:szCs w:val="20"/>
              </w:rPr>
              <w:t>–bit indicator (</w:t>
            </w:r>
            <w:r w:rsidRPr="00B756FC">
              <w:rPr>
                <w:i/>
                <w:sz w:val="20"/>
                <w:szCs w:val="20"/>
              </w:rPr>
              <w:t>i=</w:t>
            </w:r>
            <w:r w:rsidRPr="00B756FC">
              <w:rPr>
                <w:sz w:val="20"/>
                <w:szCs w:val="20"/>
              </w:rPr>
              <w:t>0, 1, …, (</w:t>
            </w:r>
            <w:r w:rsidRPr="00B756FC">
              <w:rPr>
                <w:i/>
                <w:sz w:val="20"/>
                <w:szCs w:val="20"/>
              </w:rPr>
              <w:t>RI</w:t>
            </w:r>
            <w:r w:rsidRPr="00B756FC">
              <w:rPr>
                <w:sz w:val="20"/>
                <w:szCs w:val="20"/>
              </w:rPr>
              <w:t>-1))</w:t>
            </w:r>
          </w:p>
          <w:p w14:paraId="3AE0ED5C" w14:textId="77777777" w:rsidR="00F903CD" w:rsidRPr="00B756FC" w:rsidRDefault="00F903CD" w:rsidP="00F903CD">
            <w:pPr>
              <w:pStyle w:val="ListParagraph"/>
              <w:numPr>
                <w:ilvl w:val="0"/>
                <w:numId w:val="7"/>
              </w:numPr>
              <w:contextualSpacing w:val="0"/>
              <w:jc w:val="both"/>
              <w:rPr>
                <w:sz w:val="20"/>
                <w:szCs w:val="20"/>
              </w:rPr>
            </w:pPr>
            <w:r w:rsidRPr="00B756FC">
              <w:rPr>
                <w:sz w:val="20"/>
                <w:szCs w:val="20"/>
              </w:rPr>
              <w:t xml:space="preserve">Alt3.2 (applicable to Alt1.1): Per-layer SCI, where </w:t>
            </w:r>
            <w:r w:rsidRPr="00B756FC">
              <w:rPr>
                <w:i/>
                <w:sz w:val="20"/>
                <w:szCs w:val="20"/>
              </w:rPr>
              <w:t>SCI</w:t>
            </w:r>
            <w:r w:rsidRPr="00B756FC">
              <w:rPr>
                <w:i/>
                <w:sz w:val="20"/>
                <w:szCs w:val="20"/>
                <w:vertAlign w:val="subscript"/>
              </w:rPr>
              <w:t>i</w:t>
            </w:r>
            <w:r w:rsidRPr="00B756FC">
              <w:rPr>
                <w:sz w:val="20"/>
                <w:szCs w:val="20"/>
              </w:rPr>
              <w:t xml:space="preserve"> is a </w:t>
            </w:r>
            <w:r w:rsidRPr="00B756FC">
              <w:rPr>
                <w:position w:val="-18"/>
                <w:sz w:val="20"/>
                <w:szCs w:val="20"/>
              </w:rPr>
              <w:object w:dxaOrig="3080" w:dyaOrig="480" w14:anchorId="7E2CED54">
                <v:shape id="_x0000_i1027" type="#_x0000_t75" style="width:154pt;height:24.5pt" o:ole="">
                  <v:imagedata r:id="rId13" o:title=""/>
                </v:shape>
                <o:OLEObject Type="Embed" ProgID="Equation.DSMT4" ShapeID="_x0000_i1027" DrawAspect="Content" ObjectID="_1619238300" r:id="rId14"/>
              </w:object>
            </w:r>
            <w:r w:rsidRPr="00B756FC">
              <w:rPr>
                <w:sz w:val="20"/>
                <w:szCs w:val="20"/>
              </w:rPr>
              <w:fldChar w:fldCharType="begin"/>
            </w:r>
            <w:r w:rsidRPr="00B756FC">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r>
                        <m:rPr>
                          <m:sty m:val="p"/>
                        </m:rPr>
                        <w:rPr>
                          <w:rFonts w:ascii="Cambria Math" w:hAnsi="Cambria Math"/>
                          <w:sz w:val="20"/>
                          <w:szCs w:val="20"/>
                        </w:rPr>
                        <m:t>min</m:t>
                      </m:r>
                    </m:fName>
                    <m:e>
                      <m:d>
                        <m:dPr>
                          <m:begChr m:val="{"/>
                          <m:endChr m:val="}"/>
                          <m:ctrlPr>
                            <w:rPr>
                              <w:rFonts w:ascii="Cambria Math" w:hAnsi="Cambria Math"/>
                              <w:i/>
                              <w:sz w:val="20"/>
                              <w:szCs w:val="20"/>
                            </w:rPr>
                          </m:ctrlPr>
                        </m:dPr>
                        <m:e>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r>
                                <m:rPr>
                                  <m:sty m:val="p"/>
                                </m:rPr>
                                <w:rPr>
                                  <w:rFonts w:ascii="Cambria Math" w:hAnsi="Cambria Math"/>
                                  <w:sz w:val="20"/>
                                  <w:szCs w:val="20"/>
                                </w:rPr>
                                <m:t>,2L</m:t>
                              </m:r>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nary>
                        </m:e>
                      </m:d>
                    </m:e>
                  </m:func>
                </m:e>
              </m:d>
            </m:oMath>
            <w:r w:rsidRPr="00B756FC">
              <w:rPr>
                <w:sz w:val="20"/>
                <w:szCs w:val="20"/>
              </w:rPr>
              <w:instrText xml:space="preserve"> </w:instrText>
            </w:r>
            <w:r w:rsidRPr="00B756FC">
              <w:rPr>
                <w:sz w:val="20"/>
                <w:szCs w:val="20"/>
              </w:rPr>
              <w:fldChar w:fldCharType="end"/>
            </w:r>
            <w:r w:rsidRPr="00B756FC">
              <w:rPr>
                <w:sz w:val="20"/>
                <w:szCs w:val="20"/>
              </w:rPr>
              <w:t>–bit indicator</w:t>
            </w:r>
          </w:p>
          <w:p w14:paraId="61FEA3FB" w14:textId="77777777" w:rsidR="00F903CD" w:rsidRPr="00B756FC" w:rsidRDefault="00F903CD" w:rsidP="00F903CD">
            <w:pPr>
              <w:pStyle w:val="ListParagraph"/>
              <w:numPr>
                <w:ilvl w:val="0"/>
                <w:numId w:val="7"/>
              </w:numPr>
              <w:contextualSpacing w:val="0"/>
              <w:jc w:val="both"/>
              <w:rPr>
                <w:sz w:val="20"/>
                <w:szCs w:val="20"/>
              </w:rPr>
            </w:pPr>
            <w:r w:rsidRPr="00B756FC">
              <w:rPr>
                <w:sz w:val="20"/>
                <w:szCs w:val="20"/>
              </w:rPr>
              <w:t xml:space="preserve">Alt3.3: Per-layer SCI, where </w:t>
            </w:r>
            <w:r w:rsidRPr="00B756FC">
              <w:rPr>
                <w:i/>
                <w:sz w:val="20"/>
                <w:szCs w:val="20"/>
              </w:rPr>
              <w:t>SCI</w:t>
            </w:r>
            <w:r w:rsidRPr="00B756FC">
              <w:rPr>
                <w:i/>
                <w:sz w:val="20"/>
                <w:szCs w:val="20"/>
                <w:vertAlign w:val="subscript"/>
              </w:rPr>
              <w:t>i</w:t>
            </w:r>
            <w:r w:rsidRPr="00B756FC">
              <w:rPr>
                <w:sz w:val="20"/>
                <w:szCs w:val="20"/>
              </w:rPr>
              <w:t xml:space="preserve"> is a </w:t>
            </w:r>
            <w:r w:rsidRPr="00B756FC">
              <w:rPr>
                <w:position w:val="-16"/>
                <w:sz w:val="20"/>
                <w:szCs w:val="20"/>
              </w:rPr>
              <w:object w:dxaOrig="1120" w:dyaOrig="440" w14:anchorId="1C99B7BD">
                <v:shape id="_x0000_i1028" type="#_x0000_t75" style="width:56pt;height:22pt" o:ole="">
                  <v:imagedata r:id="rId15" o:title=""/>
                </v:shape>
                <o:OLEObject Type="Embed" ProgID="Equation.DSMT4" ShapeID="_x0000_i1028" DrawAspect="Content" ObjectID="_1619238301" r:id="rId16"/>
              </w:object>
            </w:r>
            <w:r w:rsidRPr="00B756FC">
              <w:rPr>
                <w:sz w:val="20"/>
                <w:szCs w:val="20"/>
              </w:rPr>
              <w:fldChar w:fldCharType="begin"/>
            </w:r>
            <w:r w:rsidRPr="00B756FC">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e>
                  </m:func>
                </m:e>
              </m:d>
            </m:oMath>
            <w:r w:rsidRPr="00B756FC">
              <w:rPr>
                <w:sz w:val="20"/>
                <w:szCs w:val="20"/>
              </w:rPr>
              <w:instrText xml:space="preserve"> </w:instrText>
            </w:r>
            <w:r w:rsidRPr="00B756FC">
              <w:rPr>
                <w:sz w:val="20"/>
                <w:szCs w:val="20"/>
              </w:rPr>
              <w:fldChar w:fldCharType="end"/>
            </w:r>
            <w:r w:rsidRPr="00B756FC">
              <w:rPr>
                <w:sz w:val="20"/>
                <w:szCs w:val="20"/>
              </w:rPr>
              <w:t xml:space="preserve">–bit or </w:t>
            </w:r>
            <w:r w:rsidRPr="00B756FC">
              <w:rPr>
                <w:position w:val="-16"/>
                <w:sz w:val="20"/>
                <w:szCs w:val="20"/>
              </w:rPr>
              <w:object w:dxaOrig="999" w:dyaOrig="440" w14:anchorId="502A89D4">
                <v:shape id="_x0000_i1029" type="#_x0000_t75" style="width:50pt;height:22pt" o:ole="">
                  <v:imagedata r:id="rId17" o:title=""/>
                </v:shape>
                <o:OLEObject Type="Embed" ProgID="Equation.DSMT4" ShapeID="_x0000_i1029" DrawAspect="Content" ObjectID="_1619238302" r:id="rId18"/>
              </w:object>
            </w:r>
            <w:r w:rsidRPr="00B756FC">
              <w:rPr>
                <w:sz w:val="20"/>
                <w:szCs w:val="20"/>
              </w:rPr>
              <w:fldChar w:fldCharType="begin"/>
            </w:r>
            <w:r w:rsidRPr="00B756FC">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func>
                </m:e>
              </m:d>
            </m:oMath>
            <w:r w:rsidRPr="00B756FC">
              <w:rPr>
                <w:sz w:val="20"/>
                <w:szCs w:val="20"/>
              </w:rPr>
              <w:instrText xml:space="preserve"> </w:instrText>
            </w:r>
            <w:r w:rsidRPr="00B756FC">
              <w:rPr>
                <w:sz w:val="20"/>
                <w:szCs w:val="20"/>
              </w:rPr>
              <w:fldChar w:fldCharType="end"/>
            </w:r>
            <w:r w:rsidRPr="00B756FC">
              <w:rPr>
                <w:sz w:val="20"/>
                <w:szCs w:val="20"/>
              </w:rPr>
              <w:t xml:space="preserve"> indicator (</w:t>
            </w:r>
            <w:r w:rsidRPr="00B756FC">
              <w:rPr>
                <w:i/>
                <w:sz w:val="20"/>
                <w:szCs w:val="20"/>
              </w:rPr>
              <w:t>i=</w:t>
            </w:r>
            <w:r w:rsidRPr="00B756FC">
              <w:rPr>
                <w:sz w:val="20"/>
                <w:szCs w:val="20"/>
              </w:rPr>
              <w:t>0, 1, …, (</w:t>
            </w:r>
            <w:r w:rsidRPr="00B756FC">
              <w:rPr>
                <w:i/>
                <w:sz w:val="20"/>
                <w:szCs w:val="20"/>
              </w:rPr>
              <w:t>RI</w:t>
            </w:r>
            <w:r w:rsidRPr="00B756FC">
              <w:rPr>
                <w:sz w:val="20"/>
                <w:szCs w:val="20"/>
              </w:rPr>
              <w:t>-1))</w:t>
            </w:r>
          </w:p>
          <w:p w14:paraId="00E5D1EB" w14:textId="77777777" w:rsidR="00F903CD" w:rsidRPr="0046236A" w:rsidRDefault="00F903CD" w:rsidP="00F903CD">
            <w:pPr>
              <w:pStyle w:val="ListParagraph"/>
              <w:numPr>
                <w:ilvl w:val="0"/>
                <w:numId w:val="7"/>
              </w:numPr>
              <w:contextualSpacing w:val="0"/>
              <w:jc w:val="both"/>
              <w:rPr>
                <w:rStyle w:val="Emphasis"/>
                <w:i w:val="0"/>
                <w:iCs w:val="0"/>
              </w:rPr>
            </w:pPr>
            <w:r w:rsidRPr="00B756FC">
              <w:rPr>
                <w:sz w:val="20"/>
                <w:szCs w:val="20"/>
              </w:rPr>
              <w:t xml:space="preserve">Alt3.4: Per-layer SCI, where </w:t>
            </w:r>
            <w:r w:rsidRPr="00B756FC">
              <w:rPr>
                <w:i/>
                <w:sz w:val="20"/>
                <w:szCs w:val="20"/>
              </w:rPr>
              <w:t>SCI</w:t>
            </w:r>
            <w:r w:rsidRPr="00B756FC">
              <w:rPr>
                <w:i/>
                <w:sz w:val="20"/>
                <w:szCs w:val="20"/>
                <w:vertAlign w:val="subscript"/>
              </w:rPr>
              <w:t>i</w:t>
            </w:r>
            <w:r w:rsidRPr="00B756FC">
              <w:rPr>
                <w:sz w:val="20"/>
                <w:szCs w:val="20"/>
              </w:rPr>
              <w:t xml:space="preserve"> is a </w:t>
            </w:r>
            <w:r w:rsidRPr="00B756FC">
              <w:rPr>
                <w:position w:val="-16"/>
                <w:sz w:val="20"/>
                <w:szCs w:val="20"/>
              </w:rPr>
              <w:object w:dxaOrig="999" w:dyaOrig="440" w14:anchorId="0AF65E63">
                <v:shape id="_x0000_i1030" type="#_x0000_t75" style="width:50pt;height:22pt" o:ole="">
                  <v:imagedata r:id="rId19" o:title=""/>
                </v:shape>
                <o:OLEObject Type="Embed" ProgID="Equation.DSMT4" ShapeID="_x0000_i1030" DrawAspect="Content" ObjectID="_1619238303" r:id="rId20"/>
              </w:object>
            </w:r>
            <w:r w:rsidRPr="00B756FC">
              <w:rPr>
                <w:sz w:val="20"/>
                <w:szCs w:val="20"/>
              </w:rPr>
              <w:fldChar w:fldCharType="begin"/>
            </w:r>
            <w:r w:rsidRPr="00B756FC">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r>
                        <m:rPr>
                          <m:sty m:val="p"/>
                        </m:rPr>
                        <w:rPr>
                          <w:rFonts w:ascii="Cambria Math" w:hAnsi="Cambria Math"/>
                          <w:sz w:val="20"/>
                          <w:szCs w:val="20"/>
                        </w:rPr>
                        <m:t>2L</m:t>
                      </m:r>
                    </m:e>
                  </m:func>
                </m:e>
              </m:d>
            </m:oMath>
            <w:r w:rsidRPr="00B756FC">
              <w:rPr>
                <w:sz w:val="20"/>
                <w:szCs w:val="20"/>
              </w:rPr>
              <w:instrText xml:space="preserve"> </w:instrText>
            </w:r>
            <w:r w:rsidRPr="00B756FC">
              <w:rPr>
                <w:sz w:val="20"/>
                <w:szCs w:val="20"/>
              </w:rPr>
              <w:fldChar w:fldCharType="end"/>
            </w:r>
            <w:r w:rsidRPr="00B756FC">
              <w:rPr>
                <w:sz w:val="20"/>
                <w:szCs w:val="20"/>
              </w:rPr>
              <w:t>–bit (</w:t>
            </w:r>
            <w:r w:rsidRPr="00B756FC">
              <w:rPr>
                <w:i/>
                <w:sz w:val="20"/>
                <w:szCs w:val="20"/>
              </w:rPr>
              <w:t>i=</w:t>
            </w:r>
            <w:r w:rsidRPr="00B756FC">
              <w:rPr>
                <w:sz w:val="20"/>
                <w:szCs w:val="20"/>
              </w:rPr>
              <w:t>0, 1, …, (</w:t>
            </w:r>
            <w:r w:rsidRPr="00B756FC">
              <w:rPr>
                <w:i/>
                <w:sz w:val="20"/>
                <w:szCs w:val="20"/>
              </w:rPr>
              <w:t>RI</w:t>
            </w:r>
            <w:r w:rsidRPr="00B756FC">
              <w:rPr>
                <w:sz w:val="20"/>
                <w:szCs w:val="20"/>
              </w:rPr>
              <w:t>-1))</w:t>
            </w:r>
          </w:p>
        </w:tc>
      </w:tr>
    </w:tbl>
    <w:p w14:paraId="65DEBF36" w14:textId="77777777" w:rsidR="00F903CD" w:rsidRDefault="00F903CD" w:rsidP="00F903CD">
      <w:pPr>
        <w:pStyle w:val="maintext"/>
        <w:spacing w:after="120"/>
        <w:ind w:firstLineChars="0" w:firstLine="0"/>
      </w:pPr>
    </w:p>
    <w:p w14:paraId="2D5A6E58" w14:textId="57551ABD" w:rsidR="00F903CD" w:rsidRPr="008C3FDD" w:rsidRDefault="00F903CD" w:rsidP="00F903CD">
      <w:pPr>
        <w:pStyle w:val="maintext"/>
        <w:spacing w:after="120"/>
        <w:ind w:firstLineChars="0" w:firstLine="0"/>
      </w:pPr>
      <w:r>
        <w:t xml:space="preserve">This contribution provides simulation results and analysis to support proposals we made in the companion contribution [2]. More precisely it provides elements to corroborate our position and claims on Alt3.4.  </w:t>
      </w:r>
    </w:p>
    <w:p w14:paraId="33AF9EB5" w14:textId="0FBCCDDC" w:rsidR="0061513B" w:rsidRDefault="0061513B">
      <w:pPr>
        <w:pStyle w:val="Heading1"/>
        <w:rPr>
          <w:b/>
          <w:bCs/>
          <w:lang w:val="en-US"/>
        </w:rPr>
      </w:pPr>
      <w:r>
        <w:rPr>
          <w:b/>
          <w:bCs/>
          <w:lang w:val="en-US"/>
        </w:rPr>
        <w:t>2</w:t>
      </w:r>
      <w:r w:rsidR="006573F0">
        <w:rPr>
          <w:b/>
          <w:bCs/>
          <w:lang w:val="en-US"/>
        </w:rPr>
        <w:tab/>
        <w:t xml:space="preserve"> </w:t>
      </w:r>
      <w:r>
        <w:rPr>
          <w:b/>
          <w:bCs/>
          <w:lang w:val="en-US"/>
        </w:rPr>
        <w:t xml:space="preserve">Advantages of </w:t>
      </w:r>
      <w:r w:rsidR="00F903CD">
        <w:rPr>
          <w:b/>
          <w:bCs/>
          <w:lang w:val="en-US"/>
        </w:rPr>
        <w:t>Alt3.4</w:t>
      </w:r>
      <w:r w:rsidR="00D44418">
        <w:rPr>
          <w:b/>
          <w:bCs/>
          <w:lang w:val="en-US"/>
        </w:rPr>
        <w:t xml:space="preserve"> over Alt3.3</w:t>
      </w:r>
    </w:p>
    <w:p w14:paraId="3487220D" w14:textId="77777777" w:rsidR="00423570" w:rsidRDefault="00F903CD" w:rsidP="0061513B">
      <w:r>
        <w:t>Alt3.4 offers several advantages over Alt3.3</w:t>
      </w:r>
      <w:r w:rsidR="00217320">
        <w:t xml:space="preserve">. The most straightforward is the overhead saving which can be achieved in most of the practically relevant use cases and configurations. In [3] a set of results has been proposed to show that indeed some scenarios for which Alt3.3 yields an overhead decrease over Alt3.4 may exist. However, </w:t>
      </w:r>
      <w:r w:rsidR="00423570">
        <w:t xml:space="preserve">neither </w:t>
      </w:r>
      <w:r w:rsidR="00217320">
        <w:t xml:space="preserve">further characterization of the conditions for which such scenario may occur </w:t>
      </w:r>
      <w:r w:rsidR="00423570">
        <w:t xml:space="preserve">nor an analysis of the actual practical relevance, or interest, of such scenarios </w:t>
      </w:r>
      <w:r w:rsidR="00217320">
        <w:t>ha</w:t>
      </w:r>
      <w:r w:rsidR="00423570">
        <w:t>ve</w:t>
      </w:r>
      <w:r w:rsidR="00217320">
        <w:t xml:space="preserve"> not been given.</w:t>
      </w:r>
      <w:r w:rsidR="00423570">
        <w:t xml:space="preserve"> The first objective of this document is to take the analysis in [3] a step forward and provide the aforementioned characterization and analysis.</w:t>
      </w:r>
    </w:p>
    <w:p w14:paraId="405AFB0C" w14:textId="0CBA9680" w:rsidR="00423570" w:rsidRDefault="00423570" w:rsidP="0061513B">
      <w:r>
        <w:t xml:space="preserve">As a matter of fact, Alt3.4. provides overhead reduction w.r.t. Alt3.3. whenever </w:t>
      </w:r>
    </w:p>
    <w:p w14:paraId="6D2C55B5" w14:textId="72EE4049" w:rsidR="00423570" w:rsidRDefault="009D5DD0" w:rsidP="00423570">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2K</m:t>
                                </m:r>
                              </m:e>
                              <m:sub>
                                <m:r>
                                  <w:rPr>
                                    <w:rFonts w:ascii="Cambria Math" w:hAnsi="Cambria Math"/>
                                  </w:rPr>
                                  <m:t>0</m:t>
                                </m:r>
                              </m:sub>
                            </m:sSub>
                          </m:e>
                        </m:func>
                      </m:e>
                    </m:d>
                    <m:r>
                      <w:rPr>
                        <w:rFonts w:ascii="Cambria Math" w:hAnsi="Cambria Math"/>
                      </w:rPr>
                      <m:t>&lt;2L,</m:t>
                    </m:r>
                    <m:r>
                      <m:rPr>
                        <m:sty m:val="p"/>
                      </m:rPr>
                      <w:rPr>
                        <w:rFonts w:ascii="Cambria Math" w:hAnsi="Cambria Math"/>
                      </w:rPr>
                      <m:t xml:space="preserve">  if Alt0 on the NNZC per layer is agreed</m:t>
                    </m:r>
                  </m:e>
                </m:m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r>
                      <w:rPr>
                        <w:rFonts w:ascii="Cambria Math" w:hAnsi="Cambria Math"/>
                      </w:rPr>
                      <m:t>&lt;2L,</m:t>
                    </m:r>
                    <m:r>
                      <m:rPr>
                        <m:sty m:val="p"/>
                      </m:rPr>
                      <w:rPr>
                        <w:rFonts w:ascii="Cambria Math" w:hAnsi="Cambria Math"/>
                      </w:rPr>
                      <m:t xml:space="preserve">            if Alt1 on the NNZC per layer is agreed</m:t>
                    </m:r>
                  </m:e>
                </m:mr>
              </m:m>
            </m:e>
          </m:d>
        </m:oMath>
      </m:oMathPara>
    </w:p>
    <w:p w14:paraId="4A488643" w14:textId="74BB246C" w:rsidR="00F43BF7" w:rsidRDefault="00423570" w:rsidP="00F43BF7">
      <w:pPr>
        <w:rPr>
          <w:lang w:val="en-US"/>
        </w:rPr>
      </w:pPr>
      <w:r>
        <w:lastRenderedPageBreak/>
        <w:t xml:space="preserve">or, alternatively when the maximum number of nonzero coefficients which can be reported per layer by the UE is lower than </w:t>
      </w:r>
      <m:oMath>
        <m:r>
          <w:rPr>
            <w:rFonts w:ascii="Cambria Math" w:hAnsi="Cambria Math"/>
          </w:rPr>
          <m:t>2L</m:t>
        </m:r>
      </m:oMath>
      <w:r>
        <w:t xml:space="preserve">. </w:t>
      </w:r>
      <w:r w:rsidR="007455C7">
        <w:rPr>
          <w:lang w:val="en-US"/>
        </w:rPr>
        <w:t xml:space="preserve">It can be argued that the situations for which such condition is satisfied can be labeled as “corner cases” which will rarely occur in practice. Having said this, a stronger statement can be made. In fact, Rel-16 configurations which satisfy </w:t>
      </w:r>
      <m:oMath>
        <m:sSub>
          <m:sSubPr>
            <m:ctrlPr>
              <w:rPr>
                <w:rFonts w:ascii="Cambria Math" w:eastAsiaTheme="minorHAnsi" w:hAnsi="Cambria Math" w:cs="Calibri"/>
                <w:i/>
                <w:iCs/>
                <w:sz w:val="22"/>
                <w:szCs w:val="22"/>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&lt;2L</m:t>
        </m:r>
      </m:oMath>
      <w:r w:rsidR="007455C7">
        <w:rPr>
          <w:lang w:val="en-US"/>
        </w:rPr>
        <w:t xml:space="preserve"> may yield a PMI whose accuracy is lower than Rel-15 PMI, for a larger overhead, in turn yielding UPT losses experienced by Rel-16 w.r.t. Rel-15. </w:t>
      </w:r>
      <w:r w:rsidR="00F43BF7">
        <w:rPr>
          <w:lang w:val="en-US"/>
        </w:rPr>
        <w:t xml:space="preserve">A set of simulations </w:t>
      </w:r>
      <w:r w:rsidR="002432F2">
        <w:rPr>
          <w:lang w:val="en-US"/>
        </w:rPr>
        <w:t xml:space="preserve">of a 32T/4R system have been performed to validate this statement, where all the parameters are set according to Rel-16 EVM but for the </w:t>
      </w:r>
      <w:r w:rsidR="007E4329">
        <w:rPr>
          <w:lang w:val="en-US"/>
        </w:rPr>
        <w:t>subcarrier spacing and CQI subband granularity</w:t>
      </w:r>
      <w:r w:rsidR="002432F2">
        <w:rPr>
          <w:lang w:val="en-US"/>
        </w:rPr>
        <w:t xml:space="preserve">. In fact, if the </w:t>
      </w:r>
      <w:r w:rsidR="007E4329">
        <w:rPr>
          <w:lang w:val="en-US"/>
        </w:rPr>
        <w:t xml:space="preserve">subcarrier spacing and CQI subband granularity </w:t>
      </w:r>
      <w:r w:rsidR="002432F2">
        <w:rPr>
          <w:lang w:val="en-US"/>
        </w:rPr>
        <w:t xml:space="preserve">of the EVM is adopted, it is not possible to observe a situation for which </w:t>
      </w:r>
      <m:oMath>
        <m:sSub>
          <m:sSubPr>
            <m:ctrlPr>
              <w:rPr>
                <w:rFonts w:ascii="Cambria Math" w:eastAsiaTheme="minorHAnsi" w:hAnsi="Cambria Math" w:cs="Calibri"/>
                <w:i/>
                <w:iCs/>
                <w:sz w:val="22"/>
                <w:szCs w:val="22"/>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&lt;2L</m:t>
        </m:r>
      </m:oMath>
      <w:r w:rsidR="002432F2">
        <w:rPr>
          <w:iCs/>
          <w:lang w:val="en-US"/>
        </w:rPr>
        <w:t xml:space="preserve">, i.e., Alt3.3 has a lower overhead than Alt3.4. Other </w:t>
      </w:r>
      <w:r w:rsidR="007E4329">
        <w:rPr>
          <w:iCs/>
          <w:lang w:val="en-US"/>
        </w:rPr>
        <w:t xml:space="preserve">configurations </w:t>
      </w:r>
      <w:r w:rsidR="002432F2">
        <w:rPr>
          <w:iCs/>
          <w:lang w:val="en-US"/>
        </w:rPr>
        <w:t xml:space="preserve">must be considered for this to occur. In particular, we simulated </w:t>
      </w:r>
      <w:r w:rsidR="007E4329">
        <w:rPr>
          <w:iCs/>
          <w:lang w:val="en-US"/>
        </w:rPr>
        <w:t xml:space="preserve">a simulation bandwidth of 10 MHz, subcarrier spacing of 30 KHz and CQI subband granularity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m:t>
        </m:r>
        <m:d>
          <m:dPr>
            <m:begChr m:val="{"/>
            <m:endChr m:val="}"/>
            <m:ctrlPr>
              <w:rPr>
                <w:rFonts w:ascii="Cambria Math" w:hAnsi="Cambria Math"/>
                <w:i/>
                <w:iCs/>
                <w:lang w:val="en-US"/>
              </w:rPr>
            </m:ctrlPr>
          </m:dPr>
          <m:e>
            <m:r>
              <w:rPr>
                <w:rFonts w:ascii="Cambria Math" w:hAnsi="Cambria Math"/>
                <w:lang w:val="en-US"/>
              </w:rPr>
              <m:t>3,6</m:t>
            </m:r>
          </m:e>
        </m:d>
      </m:oMath>
      <w:r w:rsidR="007E4329">
        <w:rPr>
          <w:iCs/>
          <w:lang w:val="en-US"/>
        </w:rPr>
        <w:t>, corresponding to CQI subband size 8 and 6 PRBs, respectively.</w:t>
      </w:r>
      <w:r w:rsidR="007E4329">
        <w:rPr>
          <w:lang w:val="en-US"/>
        </w:rPr>
        <w:t xml:space="preserve"> The following</w:t>
      </w:r>
      <w:r w:rsidR="00F43BF7">
        <w:rPr>
          <w:lang w:val="en-US"/>
        </w:rPr>
        <w:t xml:space="preserve"> NR system configurations</w:t>
      </w:r>
      <w:r w:rsidR="007E4329">
        <w:rPr>
          <w:lang w:val="en-US"/>
        </w:rPr>
        <w:t xml:space="preserve"> have then been tested</w:t>
      </w:r>
      <w:r w:rsidR="00F43BF7">
        <w:rPr>
          <w:lang w:val="en-US"/>
        </w:rPr>
        <w:t>:</w:t>
      </w:r>
    </w:p>
    <w:p w14:paraId="184FFB2C" w14:textId="16C75FD6" w:rsidR="00F43BF7" w:rsidRPr="00F43BF7" w:rsidRDefault="00F43BF7" w:rsidP="00F43BF7">
      <w:pPr>
        <w:pStyle w:val="ListParagraph"/>
        <w:numPr>
          <w:ilvl w:val="0"/>
          <w:numId w:val="12"/>
        </w:numPr>
        <w:contextualSpacing w:val="0"/>
        <w:rPr>
          <w:rFonts w:eastAsia="Times New Roman"/>
          <w:sz w:val="20"/>
          <w:szCs w:val="20"/>
          <w:lang w:val="en-US"/>
        </w:rPr>
      </w:pPr>
      <w:r w:rsidRPr="00F43BF7">
        <w:rPr>
          <w:rFonts w:eastAsia="Times New Roman"/>
          <w:sz w:val="20"/>
          <w:szCs w:val="20"/>
          <w:lang w:val="en-US"/>
        </w:rPr>
        <w:t xml:space="preserve">Rel-15 Type II, </w:t>
      </w:r>
      <m:oMath>
        <m:sSub>
          <m:sSubPr>
            <m:ctrlPr>
              <w:rPr>
                <w:rFonts w:ascii="Cambria Math" w:eastAsiaTheme="minorHAnsi" w:hAnsi="Cambria Math" w:cs="Calibri"/>
                <w:i/>
                <w:iCs/>
                <w:sz w:val="20"/>
                <w:szCs w:val="20"/>
                <w:lang w:eastAsia="en-US"/>
              </w:rPr>
            </m:ctrlPr>
          </m:sSubPr>
          <m:e>
            <m:r>
              <w:rPr>
                <w:rFonts w:ascii="Cambria Math" w:eastAsia="Times New Roman" w:hAnsi="Cambria Math"/>
                <w:sz w:val="20"/>
                <w:szCs w:val="20"/>
                <w:lang w:val="en-US"/>
              </w:rPr>
              <m:t>N</m:t>
            </m:r>
          </m:e>
          <m:sub>
            <m:r>
              <w:rPr>
                <w:rFonts w:ascii="Cambria Math" w:eastAsia="Times New Roman" w:hAnsi="Cambria Math"/>
                <w:sz w:val="20"/>
                <w:szCs w:val="20"/>
                <w:lang w:val="en-US"/>
              </w:rPr>
              <m:t>sb</m:t>
            </m:r>
          </m:sub>
        </m:sSub>
        <m:r>
          <w:rPr>
            <w:rFonts w:ascii="Cambria Math" w:eastAsia="Times New Roman" w:hAnsi="Cambria Math"/>
            <w:sz w:val="20"/>
            <w:szCs w:val="20"/>
            <w:lang w:val="en-US"/>
          </w:rPr>
          <m:t>=3, L∈</m:t>
        </m:r>
        <m:d>
          <m:dPr>
            <m:begChr m:val="{"/>
            <m:endChr m:val="}"/>
            <m:ctrlPr>
              <w:rPr>
                <w:rFonts w:ascii="Cambria Math" w:eastAsiaTheme="minorHAnsi" w:hAnsi="Cambria Math" w:cs="Calibri"/>
                <w:i/>
                <w:iCs/>
                <w:sz w:val="20"/>
                <w:szCs w:val="20"/>
                <w:lang w:eastAsia="en-US"/>
              </w:rPr>
            </m:ctrlPr>
          </m:dPr>
          <m:e>
            <m:r>
              <w:rPr>
                <w:rFonts w:ascii="Cambria Math" w:eastAsia="Times New Roman" w:hAnsi="Cambria Math"/>
                <w:sz w:val="20"/>
                <w:szCs w:val="20"/>
                <w:lang w:val="en-US"/>
              </w:rPr>
              <m:t>2,4</m:t>
            </m:r>
          </m:e>
        </m:d>
        <m:r>
          <w:rPr>
            <w:rFonts w:ascii="Cambria Math" w:eastAsiaTheme="minorHAnsi" w:hAnsi="Cambria Math" w:cs="Calibri"/>
            <w:sz w:val="20"/>
            <w:szCs w:val="20"/>
            <w:lang w:eastAsia="en-US"/>
          </w:rPr>
          <m:t>;</m:t>
        </m:r>
      </m:oMath>
    </w:p>
    <w:p w14:paraId="4F638C38" w14:textId="0630BCCB" w:rsidR="00F43BF7" w:rsidRPr="00F43BF7" w:rsidRDefault="00F43BF7" w:rsidP="00F43BF7">
      <w:pPr>
        <w:pStyle w:val="ListParagraph"/>
        <w:numPr>
          <w:ilvl w:val="0"/>
          <w:numId w:val="12"/>
        </w:numPr>
        <w:contextualSpacing w:val="0"/>
        <w:rPr>
          <w:rFonts w:eastAsia="Times New Roman"/>
          <w:sz w:val="20"/>
          <w:szCs w:val="20"/>
          <w:lang w:val="en-US"/>
        </w:rPr>
      </w:pPr>
      <w:r w:rsidRPr="00F43BF7">
        <w:rPr>
          <w:rFonts w:eastAsia="Times New Roman"/>
          <w:sz w:val="20"/>
          <w:szCs w:val="20"/>
          <w:lang w:val="en-US"/>
        </w:rPr>
        <w:t xml:space="preserve">Rel-15 Type II, </w:t>
      </w:r>
      <m:oMath>
        <m:sSub>
          <m:sSubPr>
            <m:ctrlPr>
              <w:rPr>
                <w:rFonts w:ascii="Cambria Math" w:eastAsiaTheme="minorHAnsi" w:hAnsi="Cambria Math" w:cs="Calibri"/>
                <w:i/>
                <w:iCs/>
                <w:sz w:val="20"/>
                <w:szCs w:val="20"/>
                <w:lang w:eastAsia="en-US"/>
              </w:rPr>
            </m:ctrlPr>
          </m:sSubPr>
          <m:e>
            <m:r>
              <w:rPr>
                <w:rFonts w:ascii="Cambria Math" w:eastAsia="Times New Roman" w:hAnsi="Cambria Math"/>
                <w:sz w:val="20"/>
                <w:szCs w:val="20"/>
                <w:lang w:val="en-US"/>
              </w:rPr>
              <m:t>N</m:t>
            </m:r>
          </m:e>
          <m:sub>
            <m:r>
              <w:rPr>
                <w:rFonts w:ascii="Cambria Math" w:eastAsia="Times New Roman" w:hAnsi="Cambria Math"/>
                <w:sz w:val="20"/>
                <w:szCs w:val="20"/>
                <w:lang w:val="en-US"/>
              </w:rPr>
              <m:t>sb</m:t>
            </m:r>
          </m:sub>
        </m:sSub>
        <m:r>
          <w:rPr>
            <w:rFonts w:ascii="Cambria Math" w:eastAsia="Times New Roman" w:hAnsi="Cambria Math"/>
            <w:sz w:val="20"/>
            <w:szCs w:val="20"/>
            <w:lang w:val="en-US"/>
          </w:rPr>
          <m:t>=6, L∈</m:t>
        </m:r>
        <m:d>
          <m:dPr>
            <m:begChr m:val="{"/>
            <m:endChr m:val="}"/>
            <m:ctrlPr>
              <w:rPr>
                <w:rFonts w:ascii="Cambria Math" w:eastAsiaTheme="minorHAnsi" w:hAnsi="Cambria Math" w:cs="Calibri"/>
                <w:i/>
                <w:iCs/>
                <w:sz w:val="20"/>
                <w:szCs w:val="20"/>
                <w:lang w:eastAsia="en-US"/>
              </w:rPr>
            </m:ctrlPr>
          </m:dPr>
          <m:e>
            <m:r>
              <w:rPr>
                <w:rFonts w:ascii="Cambria Math" w:eastAsia="Times New Roman" w:hAnsi="Cambria Math"/>
                <w:sz w:val="20"/>
                <w:szCs w:val="20"/>
                <w:lang w:val="en-US"/>
              </w:rPr>
              <m:t>2,4</m:t>
            </m:r>
          </m:e>
        </m:d>
      </m:oMath>
      <w:r w:rsidR="002432F2">
        <w:rPr>
          <w:rFonts w:eastAsia="Times New Roman"/>
          <w:iCs/>
          <w:sz w:val="20"/>
          <w:szCs w:val="20"/>
          <w:lang w:eastAsia="en-US"/>
        </w:rPr>
        <w:t>,</w:t>
      </w:r>
    </w:p>
    <w:p w14:paraId="390713E4" w14:textId="7534BB23" w:rsidR="00F43BF7" w:rsidRPr="00F43BF7" w:rsidRDefault="00F43BF7" w:rsidP="00F43BF7">
      <w:pPr>
        <w:pStyle w:val="ListParagraph"/>
        <w:numPr>
          <w:ilvl w:val="0"/>
          <w:numId w:val="12"/>
        </w:numPr>
        <w:contextualSpacing w:val="0"/>
        <w:rPr>
          <w:rFonts w:eastAsia="Times New Roman"/>
          <w:sz w:val="20"/>
          <w:szCs w:val="20"/>
          <w:lang w:val="en-US"/>
        </w:rPr>
      </w:pPr>
      <w:r w:rsidRPr="00F43BF7">
        <w:rPr>
          <w:rFonts w:eastAsia="Times New Roman"/>
          <w:sz w:val="20"/>
          <w:szCs w:val="20"/>
          <w:lang w:val="en-US"/>
        </w:rPr>
        <w:t xml:space="preserve">Rel-16, </w:t>
      </w:r>
      <m:oMath>
        <m:r>
          <w:rPr>
            <w:rFonts w:ascii="Cambria Math" w:eastAsia="Times New Roman" w:hAnsi="Cambria Math"/>
            <w:sz w:val="20"/>
            <w:szCs w:val="20"/>
            <w:lang w:val="en-US"/>
          </w:rPr>
          <m:t xml:space="preserve">L=4, </m:t>
        </m:r>
        <m:sSub>
          <m:sSubPr>
            <m:ctrlPr>
              <w:rPr>
                <w:rFonts w:ascii="Cambria Math" w:eastAsiaTheme="minorHAnsi" w:hAnsi="Cambria Math" w:cs="Calibri"/>
                <w:i/>
                <w:iCs/>
                <w:sz w:val="20"/>
                <w:szCs w:val="20"/>
                <w:lang w:eastAsia="en-US"/>
              </w:rPr>
            </m:ctrlPr>
          </m:sSubPr>
          <m:e>
            <m:r>
              <w:rPr>
                <w:rFonts w:ascii="Cambria Math" w:eastAsia="Times New Roman" w:hAnsi="Cambria Math"/>
                <w:sz w:val="20"/>
                <w:szCs w:val="20"/>
                <w:lang w:val="en-US"/>
              </w:rPr>
              <m:t>N</m:t>
            </m:r>
          </m:e>
          <m:sub>
            <m:r>
              <w:rPr>
                <w:rFonts w:ascii="Cambria Math" w:eastAsia="Times New Roman" w:hAnsi="Cambria Math"/>
                <w:sz w:val="20"/>
                <w:szCs w:val="20"/>
                <w:lang w:val="en-US"/>
              </w:rPr>
              <m:t>sb</m:t>
            </m:r>
          </m:sub>
        </m:sSub>
        <m:r>
          <w:rPr>
            <w:rFonts w:ascii="Cambria Math" w:eastAsia="Times New Roman" w:hAnsi="Cambria Math"/>
            <w:sz w:val="20"/>
            <w:szCs w:val="20"/>
            <w:lang w:val="en-US"/>
          </w:rPr>
          <m:t xml:space="preserve">=3,  M=2 </m:t>
        </m:r>
        <m:d>
          <m:dPr>
            <m:ctrlPr>
              <w:rPr>
                <w:rFonts w:ascii="Cambria Math" w:eastAsiaTheme="minorHAnsi" w:hAnsi="Cambria Math" w:cs="Calibri"/>
                <w:i/>
                <w:iCs/>
                <w:sz w:val="20"/>
                <w:szCs w:val="20"/>
                <w:lang w:eastAsia="en-US"/>
              </w:rPr>
            </m:ctrlPr>
          </m:dPr>
          <m:e>
            <m:r>
              <w:rPr>
                <w:rFonts w:ascii="Cambria Math" w:eastAsia="Times New Roman" w:hAnsi="Cambria Math"/>
                <w:sz w:val="20"/>
                <w:szCs w:val="20"/>
                <w:lang w:val="en-US"/>
              </w:rPr>
              <m:t>p=</m:t>
            </m:r>
            <m:f>
              <m:fPr>
                <m:ctrlPr>
                  <w:rPr>
                    <w:rFonts w:ascii="Cambria Math" w:eastAsiaTheme="minorHAnsi" w:hAnsi="Cambria Math" w:cs="Calibri"/>
                    <w:i/>
                    <w:iCs/>
                    <w:sz w:val="20"/>
                    <w:szCs w:val="20"/>
                    <w:lang w:eastAsia="en-US"/>
                  </w:rPr>
                </m:ctrlPr>
              </m:fPr>
              <m:num>
                <m:r>
                  <w:rPr>
                    <w:rFonts w:ascii="Cambria Math" w:eastAsia="Times New Roman" w:hAnsi="Cambria Math"/>
                    <w:sz w:val="20"/>
                    <w:szCs w:val="20"/>
                    <w:lang w:val="en-US"/>
                  </w:rPr>
                  <m:t>1</m:t>
                </m:r>
              </m:num>
              <m:den>
                <m:r>
                  <w:rPr>
                    <w:rFonts w:ascii="Cambria Math" w:eastAsia="Times New Roman" w:hAnsi="Cambria Math"/>
                    <w:sz w:val="20"/>
                    <w:szCs w:val="20"/>
                    <w:lang w:val="en-US"/>
                  </w:rPr>
                  <m:t>2</m:t>
                </m:r>
              </m:den>
            </m:f>
          </m:e>
        </m:d>
      </m:oMath>
      <w:r w:rsidR="002432F2">
        <w:rPr>
          <w:rFonts w:eastAsia="Times New Roman"/>
          <w:iCs/>
          <w:sz w:val="20"/>
          <w:szCs w:val="20"/>
          <w:lang w:eastAsia="en-US"/>
        </w:rPr>
        <w:t>,</w:t>
      </w:r>
    </w:p>
    <w:p w14:paraId="6662379E" w14:textId="7BDE9E3A" w:rsidR="00F43BF7" w:rsidRPr="00F43BF7" w:rsidRDefault="00F43BF7" w:rsidP="00F43BF7">
      <w:pPr>
        <w:pStyle w:val="ListParagraph"/>
        <w:numPr>
          <w:ilvl w:val="1"/>
          <w:numId w:val="12"/>
        </w:numPr>
        <w:contextualSpacing w:val="0"/>
        <w:rPr>
          <w:rFonts w:eastAsia="Times New Roman"/>
          <w:sz w:val="20"/>
          <w:szCs w:val="20"/>
          <w:lang w:val="en-US"/>
        </w:rPr>
      </w:pPr>
      <m:oMath>
        <m:r>
          <w:rPr>
            <w:rFonts w:ascii="Cambria Math" w:eastAsia="Times New Roman" w:hAnsi="Cambria Math"/>
            <w:sz w:val="20"/>
            <w:szCs w:val="20"/>
            <w:lang w:val="en-US"/>
          </w:rPr>
          <m:t> </m:t>
        </m:r>
        <m:r>
          <w:rPr>
            <w:rFonts w:ascii="Cambria Math" w:eastAsiaTheme="minorHAnsi" w:hAnsi="Cambria Math" w:cs="Calibri"/>
            <w:sz w:val="20"/>
            <w:szCs w:val="20"/>
            <w:lang w:eastAsia="en-US"/>
          </w:rPr>
          <m:t>β=</m:t>
        </m:r>
        <m:f>
          <m:fPr>
            <m:ctrlPr>
              <w:rPr>
                <w:rFonts w:ascii="Cambria Math" w:eastAsiaTheme="minorHAnsi" w:hAnsi="Cambria Math" w:cs="Calibri"/>
                <w:i/>
                <w:iCs/>
                <w:sz w:val="20"/>
                <w:szCs w:val="20"/>
                <w:lang w:eastAsia="en-US"/>
              </w:rPr>
            </m:ctrlPr>
          </m:fPr>
          <m:num>
            <m:r>
              <w:rPr>
                <w:rFonts w:ascii="Cambria Math" w:eastAsiaTheme="minorHAnsi" w:hAnsi="Cambria Math" w:cs="Calibri"/>
                <w:sz w:val="20"/>
                <w:szCs w:val="20"/>
                <w:lang w:eastAsia="en-US"/>
              </w:rPr>
              <m:t>1</m:t>
            </m:r>
          </m:num>
          <m:den>
            <m:r>
              <w:rPr>
                <w:rFonts w:ascii="Cambria Math" w:eastAsiaTheme="minorHAnsi" w:hAnsi="Cambria Math" w:cs="Calibri"/>
                <w:sz w:val="20"/>
                <w:szCs w:val="20"/>
                <w:lang w:eastAsia="en-US"/>
              </w:rPr>
              <m:t>4</m:t>
            </m:r>
          </m:den>
        </m:f>
      </m:oMath>
      <w:r w:rsidRPr="00F43BF7">
        <w:rPr>
          <w:rFonts w:eastAsia="Times New Roman"/>
          <w:iCs/>
          <w:sz w:val="20"/>
          <w:szCs w:val="20"/>
          <w:lang w:eastAsia="en-US"/>
        </w:rPr>
        <w:t xml:space="preserve">, i.e., </w:t>
      </w:r>
      <m:oMath>
        <m:sSub>
          <m:sSubPr>
            <m:ctrlPr>
              <w:rPr>
                <w:rFonts w:ascii="Cambria Math" w:eastAsiaTheme="minorHAnsi" w:hAnsi="Cambria Math" w:cs="Calibri"/>
                <w:b/>
                <w:i/>
                <w:iCs/>
                <w:color w:val="4472C4" w:themeColor="accent1"/>
                <w:sz w:val="20"/>
                <w:szCs w:val="20"/>
                <w:lang w:eastAsia="en-US"/>
              </w:rPr>
            </m:ctrlPr>
          </m:sSubPr>
          <m:e>
            <m:r>
              <m:rPr>
                <m:sty m:val="bi"/>
              </m:rPr>
              <w:rPr>
                <w:rFonts w:ascii="Cambria Math" w:eastAsia="Times New Roman" w:hAnsi="Cambria Math"/>
                <w:color w:val="4472C4" w:themeColor="accent1"/>
                <w:sz w:val="20"/>
                <w:szCs w:val="20"/>
                <w:lang w:val="en-US"/>
              </w:rPr>
              <m:t>K</m:t>
            </m:r>
          </m:e>
          <m:sub>
            <m:r>
              <m:rPr>
                <m:sty m:val="bi"/>
              </m:rPr>
              <w:rPr>
                <w:rFonts w:ascii="Cambria Math" w:eastAsia="Times New Roman" w:hAnsi="Cambria Math"/>
                <w:color w:val="4472C4" w:themeColor="accent1"/>
                <w:sz w:val="20"/>
                <w:szCs w:val="20"/>
                <w:lang w:val="en-US"/>
              </w:rPr>
              <m:t>0</m:t>
            </m:r>
          </m:sub>
        </m:sSub>
        <m:r>
          <m:rPr>
            <m:sty m:val="bi"/>
          </m:rPr>
          <w:rPr>
            <w:rFonts w:ascii="Cambria Math" w:eastAsia="Times New Roman" w:hAnsi="Cambria Math"/>
            <w:color w:val="4472C4" w:themeColor="accent1"/>
            <w:sz w:val="20"/>
            <w:szCs w:val="20"/>
            <w:lang w:val="en-US"/>
          </w:rPr>
          <m:t>=4&lt;2</m:t>
        </m:r>
        <m:r>
          <m:rPr>
            <m:sty m:val="bi"/>
          </m:rPr>
          <w:rPr>
            <w:rFonts w:ascii="Cambria Math" w:eastAsia="Times New Roman" w:hAnsi="Cambria Math"/>
            <w:color w:val="4472C4" w:themeColor="accent1"/>
            <w:sz w:val="20"/>
            <w:szCs w:val="20"/>
            <w:lang w:val="en-US"/>
          </w:rPr>
          <m:t>L</m:t>
        </m:r>
      </m:oMath>
      <w:r w:rsidRPr="00F43BF7">
        <w:rPr>
          <w:rFonts w:eastAsia="Times New Roman"/>
          <w:iCs/>
          <w:sz w:val="20"/>
          <w:szCs w:val="20"/>
          <w:lang w:eastAsia="en-US"/>
        </w:rPr>
        <w:t>;</w:t>
      </w:r>
    </w:p>
    <w:p w14:paraId="296CCF81" w14:textId="5B24BA06" w:rsidR="00F43BF7" w:rsidRPr="00F43BF7" w:rsidRDefault="00F43BF7" w:rsidP="00F43BF7">
      <w:pPr>
        <w:pStyle w:val="ListParagraph"/>
        <w:numPr>
          <w:ilvl w:val="1"/>
          <w:numId w:val="12"/>
        </w:numPr>
        <w:contextualSpacing w:val="0"/>
        <w:rPr>
          <w:rFonts w:eastAsia="Times New Roman"/>
          <w:sz w:val="20"/>
          <w:szCs w:val="20"/>
          <w:lang w:val="en-US"/>
        </w:rPr>
      </w:pPr>
      <m:oMath>
        <m:r>
          <w:rPr>
            <w:rFonts w:ascii="Cambria Math" w:eastAsia="Times New Roman" w:hAnsi="Cambria Math"/>
            <w:sz w:val="20"/>
            <w:szCs w:val="20"/>
            <w:lang w:val="en-US"/>
          </w:rPr>
          <m:t> β=</m:t>
        </m:r>
        <m:f>
          <m:fPr>
            <m:ctrlPr>
              <w:rPr>
                <w:rFonts w:ascii="Cambria Math" w:eastAsia="Times New Roman" w:hAnsi="Cambria Math"/>
                <w:i/>
                <w:iCs/>
                <w:sz w:val="20"/>
                <w:szCs w:val="20"/>
                <w:lang w:val="en-US"/>
              </w:rPr>
            </m:ctrlPr>
          </m:fPr>
          <m:num>
            <m:r>
              <w:rPr>
                <w:rFonts w:ascii="Cambria Math" w:eastAsia="Times New Roman" w:hAnsi="Cambria Math"/>
                <w:sz w:val="20"/>
                <w:szCs w:val="20"/>
                <w:lang w:val="en-US"/>
              </w:rPr>
              <m:t>1</m:t>
            </m:r>
          </m:num>
          <m:den>
            <m:r>
              <w:rPr>
                <w:rFonts w:ascii="Cambria Math" w:eastAsia="Times New Roman" w:hAnsi="Cambria Math"/>
                <w:sz w:val="20"/>
                <w:szCs w:val="20"/>
                <w:lang w:val="en-US"/>
              </w:rPr>
              <m:t>2</m:t>
            </m:r>
          </m:den>
        </m:f>
      </m:oMath>
      <w:r w:rsidRPr="00F43BF7">
        <w:rPr>
          <w:rFonts w:eastAsia="Times New Roman"/>
          <w:iCs/>
          <w:sz w:val="20"/>
          <w:szCs w:val="20"/>
          <w:lang w:val="en-US"/>
        </w:rPr>
        <w:t xml:space="preserve">, i.e, </w:t>
      </w:r>
      <m:oMath>
        <m:sSub>
          <m:sSubPr>
            <m:ctrlPr>
              <w:rPr>
                <w:rFonts w:ascii="Cambria Math" w:eastAsiaTheme="minorHAnsi" w:hAnsi="Cambria Math" w:cs="Calibri"/>
                <w:b/>
                <w:i/>
                <w:iCs/>
                <w:color w:val="4472C4" w:themeColor="accent1"/>
                <w:sz w:val="20"/>
                <w:szCs w:val="20"/>
                <w:lang w:eastAsia="en-US"/>
              </w:rPr>
            </m:ctrlPr>
          </m:sSubPr>
          <m:e>
            <m:r>
              <m:rPr>
                <m:sty m:val="bi"/>
              </m:rPr>
              <w:rPr>
                <w:rFonts w:ascii="Cambria Math" w:eastAsia="Times New Roman" w:hAnsi="Cambria Math"/>
                <w:color w:val="4472C4" w:themeColor="accent1"/>
                <w:sz w:val="20"/>
                <w:szCs w:val="20"/>
                <w:lang w:val="en-US"/>
              </w:rPr>
              <m:t>K</m:t>
            </m:r>
          </m:e>
          <m:sub>
            <m:r>
              <m:rPr>
                <m:sty m:val="bi"/>
              </m:rPr>
              <w:rPr>
                <w:rFonts w:ascii="Cambria Math" w:eastAsia="Times New Roman" w:hAnsi="Cambria Math"/>
                <w:color w:val="4472C4" w:themeColor="accent1"/>
                <w:sz w:val="20"/>
                <w:szCs w:val="20"/>
                <w:lang w:val="en-US"/>
              </w:rPr>
              <m:t>0</m:t>
            </m:r>
          </m:sub>
        </m:sSub>
        <m:r>
          <m:rPr>
            <m:sty m:val="bi"/>
          </m:rPr>
          <w:rPr>
            <w:rFonts w:ascii="Cambria Math" w:eastAsia="Times New Roman" w:hAnsi="Cambria Math"/>
            <w:color w:val="4472C4" w:themeColor="accent1"/>
            <w:sz w:val="20"/>
            <w:szCs w:val="20"/>
            <w:lang w:val="en-US"/>
          </w:rPr>
          <m:t>= 8=2</m:t>
        </m:r>
        <m:r>
          <m:rPr>
            <m:sty m:val="bi"/>
          </m:rPr>
          <w:rPr>
            <w:rFonts w:ascii="Cambria Math" w:eastAsia="Times New Roman" w:hAnsi="Cambria Math"/>
            <w:color w:val="4472C4" w:themeColor="accent1"/>
            <w:sz w:val="20"/>
            <w:szCs w:val="20"/>
            <w:lang w:val="en-US"/>
          </w:rPr>
          <m:t>L</m:t>
        </m:r>
      </m:oMath>
      <w:r w:rsidRPr="00F43BF7">
        <w:rPr>
          <w:rFonts w:eastAsia="Times New Roman"/>
          <w:iCs/>
          <w:sz w:val="20"/>
          <w:szCs w:val="20"/>
          <w:lang w:eastAsia="en-US"/>
        </w:rPr>
        <w:t>;</w:t>
      </w:r>
    </w:p>
    <w:p w14:paraId="02F3874A" w14:textId="02FC1CFD" w:rsidR="00F43BF7" w:rsidRPr="002432F2" w:rsidRDefault="00F43BF7" w:rsidP="002432F2">
      <w:pPr>
        <w:pStyle w:val="ListParagraph"/>
        <w:numPr>
          <w:ilvl w:val="0"/>
          <w:numId w:val="12"/>
        </w:numPr>
        <w:contextualSpacing w:val="0"/>
        <w:rPr>
          <w:rFonts w:eastAsia="Times New Roman"/>
          <w:sz w:val="20"/>
          <w:szCs w:val="20"/>
          <w:lang w:val="en-US"/>
        </w:rPr>
      </w:pPr>
      <w:r w:rsidRPr="00F43BF7">
        <w:rPr>
          <w:rFonts w:eastAsia="Times New Roman"/>
          <w:sz w:val="20"/>
          <w:szCs w:val="20"/>
          <w:lang w:val="en-US"/>
        </w:rPr>
        <w:t xml:space="preserve">Rel-16, </w:t>
      </w:r>
      <m:oMath>
        <m:r>
          <w:rPr>
            <w:rFonts w:ascii="Cambria Math" w:eastAsia="Times New Roman" w:hAnsi="Cambria Math"/>
            <w:sz w:val="20"/>
            <w:szCs w:val="20"/>
            <w:lang w:val="en-US"/>
          </w:rPr>
          <m:t xml:space="preserve">L=4, </m:t>
        </m:r>
        <m:sSub>
          <m:sSubPr>
            <m:ctrlPr>
              <w:rPr>
                <w:rFonts w:ascii="Cambria Math" w:eastAsiaTheme="minorHAnsi" w:hAnsi="Cambria Math" w:cs="Calibri"/>
                <w:i/>
                <w:iCs/>
                <w:sz w:val="20"/>
                <w:szCs w:val="20"/>
                <w:lang w:eastAsia="en-US"/>
              </w:rPr>
            </m:ctrlPr>
          </m:sSubPr>
          <m:e>
            <m:r>
              <w:rPr>
                <w:rFonts w:ascii="Cambria Math" w:eastAsia="Times New Roman" w:hAnsi="Cambria Math"/>
                <w:sz w:val="20"/>
                <w:szCs w:val="20"/>
                <w:lang w:val="en-US"/>
              </w:rPr>
              <m:t>N</m:t>
            </m:r>
          </m:e>
          <m:sub>
            <m:r>
              <w:rPr>
                <w:rFonts w:ascii="Cambria Math" w:eastAsia="Times New Roman" w:hAnsi="Cambria Math"/>
                <w:sz w:val="20"/>
                <w:szCs w:val="20"/>
                <w:lang w:val="en-US"/>
              </w:rPr>
              <m:t>sb</m:t>
            </m:r>
          </m:sub>
        </m:sSub>
        <m:r>
          <w:rPr>
            <w:rFonts w:ascii="Cambria Math" w:eastAsia="Times New Roman" w:hAnsi="Cambria Math"/>
            <w:sz w:val="20"/>
            <w:szCs w:val="20"/>
            <w:lang w:val="en-US"/>
          </w:rPr>
          <m:t>=6</m:t>
        </m:r>
      </m:oMath>
      <w:r w:rsidRPr="00F43BF7">
        <w:rPr>
          <w:rFonts w:eastAsia="Times New Roman"/>
          <w:iCs/>
          <w:sz w:val="20"/>
          <w:szCs w:val="20"/>
          <w:lang w:val="en-US"/>
        </w:rPr>
        <w:t xml:space="preserve">, </w:t>
      </w:r>
      <m:oMath>
        <m:r>
          <w:rPr>
            <w:rFonts w:ascii="Cambria Math" w:eastAsia="Times New Roman" w:hAnsi="Cambria Math"/>
            <w:sz w:val="20"/>
            <w:szCs w:val="20"/>
            <w:lang w:val="en-US"/>
          </w:rPr>
          <m:t xml:space="preserve">M=3 </m:t>
        </m:r>
        <m:d>
          <m:dPr>
            <m:ctrlPr>
              <w:rPr>
                <w:rFonts w:ascii="Cambria Math" w:eastAsiaTheme="minorHAnsi" w:hAnsi="Cambria Math" w:cs="Calibri"/>
                <w:i/>
                <w:iCs/>
                <w:sz w:val="20"/>
                <w:szCs w:val="20"/>
                <w:lang w:eastAsia="en-US"/>
              </w:rPr>
            </m:ctrlPr>
          </m:dPr>
          <m:e>
            <m:r>
              <w:rPr>
                <w:rFonts w:ascii="Cambria Math" w:eastAsia="Times New Roman" w:hAnsi="Cambria Math"/>
                <w:sz w:val="20"/>
                <w:szCs w:val="20"/>
                <w:lang w:val="en-US"/>
              </w:rPr>
              <m:t>p=</m:t>
            </m:r>
            <m:f>
              <m:fPr>
                <m:ctrlPr>
                  <w:rPr>
                    <w:rFonts w:ascii="Cambria Math" w:eastAsiaTheme="minorHAnsi" w:hAnsi="Cambria Math" w:cs="Calibri"/>
                    <w:i/>
                    <w:iCs/>
                    <w:sz w:val="20"/>
                    <w:szCs w:val="20"/>
                    <w:lang w:eastAsia="en-US"/>
                  </w:rPr>
                </m:ctrlPr>
              </m:fPr>
              <m:num>
                <m:r>
                  <w:rPr>
                    <w:rFonts w:ascii="Cambria Math" w:eastAsia="Times New Roman" w:hAnsi="Cambria Math"/>
                    <w:sz w:val="20"/>
                    <w:szCs w:val="20"/>
                    <w:lang w:val="en-US"/>
                  </w:rPr>
                  <m:t>1</m:t>
                </m:r>
              </m:num>
              <m:den>
                <m:r>
                  <w:rPr>
                    <w:rFonts w:ascii="Cambria Math" w:eastAsia="Times New Roman" w:hAnsi="Cambria Math"/>
                    <w:sz w:val="20"/>
                    <w:szCs w:val="20"/>
                    <w:lang w:val="en-US"/>
                  </w:rPr>
                  <m:t>2</m:t>
                </m:r>
              </m:den>
            </m:f>
          </m:e>
        </m:d>
      </m:oMath>
      <w:r w:rsidR="002432F2">
        <w:rPr>
          <w:rFonts w:eastAsia="Times New Roman"/>
          <w:iCs/>
          <w:sz w:val="20"/>
          <w:szCs w:val="20"/>
          <w:lang w:eastAsia="en-US"/>
        </w:rPr>
        <w:t xml:space="preserve">, </w:t>
      </w:r>
    </w:p>
    <w:p w14:paraId="65A23258" w14:textId="2CB8718F" w:rsidR="00F43BF7" w:rsidRPr="00F43BF7" w:rsidRDefault="00F43BF7" w:rsidP="00F43BF7">
      <w:pPr>
        <w:pStyle w:val="ListParagraph"/>
        <w:numPr>
          <w:ilvl w:val="1"/>
          <w:numId w:val="12"/>
        </w:numPr>
        <w:contextualSpacing w:val="0"/>
        <w:rPr>
          <w:rFonts w:eastAsia="Times New Roman"/>
          <w:sz w:val="20"/>
          <w:szCs w:val="20"/>
          <w:lang w:val="en-US"/>
        </w:rPr>
      </w:pPr>
      <m:oMath>
        <m:r>
          <w:rPr>
            <w:rFonts w:ascii="Cambria Math" w:eastAsiaTheme="minorHAnsi" w:hAnsi="Cambria Math" w:cs="Calibri"/>
            <w:sz w:val="20"/>
            <w:szCs w:val="20"/>
            <w:lang w:eastAsia="en-US"/>
          </w:rPr>
          <m:t>β=</m:t>
        </m:r>
        <m:f>
          <m:fPr>
            <m:ctrlPr>
              <w:rPr>
                <w:rFonts w:ascii="Cambria Math" w:eastAsiaTheme="minorHAnsi" w:hAnsi="Cambria Math" w:cs="Calibri"/>
                <w:i/>
                <w:iCs/>
                <w:sz w:val="20"/>
                <w:szCs w:val="20"/>
                <w:lang w:eastAsia="en-US"/>
              </w:rPr>
            </m:ctrlPr>
          </m:fPr>
          <m:num>
            <m:r>
              <w:rPr>
                <w:rFonts w:ascii="Cambria Math" w:eastAsiaTheme="minorHAnsi" w:hAnsi="Cambria Math" w:cs="Calibri"/>
                <w:sz w:val="20"/>
                <w:szCs w:val="20"/>
                <w:lang w:eastAsia="en-US"/>
              </w:rPr>
              <m:t>1</m:t>
            </m:r>
          </m:num>
          <m:den>
            <m:r>
              <w:rPr>
                <w:rFonts w:ascii="Cambria Math" w:eastAsiaTheme="minorHAnsi" w:hAnsi="Cambria Math" w:cs="Calibri"/>
                <w:sz w:val="20"/>
                <w:szCs w:val="20"/>
                <w:lang w:eastAsia="en-US"/>
              </w:rPr>
              <m:t>4</m:t>
            </m:r>
          </m:den>
        </m:f>
      </m:oMath>
      <w:r w:rsidRPr="00F43BF7">
        <w:rPr>
          <w:rFonts w:eastAsia="Times New Roman"/>
          <w:iCs/>
          <w:sz w:val="20"/>
          <w:szCs w:val="20"/>
          <w:lang w:eastAsia="en-US"/>
        </w:rPr>
        <w:t xml:space="preserve">, i.e., </w:t>
      </w:r>
      <m:oMath>
        <m:sSub>
          <m:sSubPr>
            <m:ctrlPr>
              <w:rPr>
                <w:rFonts w:ascii="Cambria Math" w:eastAsia="Times New Roman" w:hAnsi="Cambria Math"/>
                <w:b/>
                <w:i/>
                <w:iCs/>
                <w:color w:val="4472C4" w:themeColor="accent1"/>
                <w:sz w:val="20"/>
                <w:szCs w:val="20"/>
                <w:lang w:eastAsia="en-US"/>
              </w:rPr>
            </m:ctrlPr>
          </m:sSubPr>
          <m:e>
            <m:r>
              <m:rPr>
                <m:sty m:val="bi"/>
              </m:rPr>
              <w:rPr>
                <w:rFonts w:ascii="Cambria Math" w:eastAsia="Times New Roman" w:hAnsi="Cambria Math"/>
                <w:color w:val="4472C4" w:themeColor="accent1"/>
                <w:sz w:val="20"/>
                <w:szCs w:val="20"/>
                <w:lang w:eastAsia="en-US"/>
              </w:rPr>
              <m:t>K</m:t>
            </m:r>
          </m:e>
          <m:sub>
            <m:r>
              <m:rPr>
                <m:sty m:val="bi"/>
              </m:rPr>
              <w:rPr>
                <w:rFonts w:ascii="Cambria Math" w:eastAsia="Times New Roman" w:hAnsi="Cambria Math"/>
                <w:color w:val="4472C4" w:themeColor="accent1"/>
                <w:sz w:val="20"/>
                <w:szCs w:val="20"/>
                <w:lang w:eastAsia="en-US"/>
              </w:rPr>
              <m:t>0</m:t>
            </m:r>
          </m:sub>
        </m:sSub>
        <m:r>
          <m:rPr>
            <m:sty m:val="bi"/>
          </m:rPr>
          <w:rPr>
            <w:rFonts w:ascii="Cambria Math" w:eastAsia="Times New Roman" w:hAnsi="Cambria Math"/>
            <w:color w:val="4472C4" w:themeColor="accent1"/>
            <w:sz w:val="20"/>
            <w:szCs w:val="20"/>
            <w:lang w:eastAsia="en-US"/>
          </w:rPr>
          <m:t>=6&lt;2</m:t>
        </m:r>
        <m:r>
          <m:rPr>
            <m:sty m:val="bi"/>
          </m:rPr>
          <w:rPr>
            <w:rFonts w:ascii="Cambria Math" w:eastAsia="Times New Roman" w:hAnsi="Cambria Math"/>
            <w:color w:val="4472C4" w:themeColor="accent1"/>
            <w:sz w:val="20"/>
            <w:szCs w:val="20"/>
            <w:lang w:eastAsia="en-US"/>
          </w:rPr>
          <m:t>L</m:t>
        </m:r>
      </m:oMath>
      <w:r w:rsidRPr="00F43BF7">
        <w:rPr>
          <w:rFonts w:eastAsia="Times New Roman"/>
          <w:iCs/>
          <w:sz w:val="20"/>
          <w:szCs w:val="20"/>
          <w:lang w:val="en-US"/>
        </w:rPr>
        <w:t>;</w:t>
      </w:r>
    </w:p>
    <w:p w14:paraId="41AB59D6" w14:textId="4F527974" w:rsidR="00F43BF7" w:rsidRPr="00F43BF7" w:rsidRDefault="00F43BF7" w:rsidP="00F43BF7">
      <w:pPr>
        <w:pStyle w:val="ListParagraph"/>
        <w:numPr>
          <w:ilvl w:val="1"/>
          <w:numId w:val="12"/>
        </w:numPr>
        <w:contextualSpacing w:val="0"/>
        <w:rPr>
          <w:rFonts w:eastAsia="Times New Roman"/>
          <w:sz w:val="20"/>
          <w:szCs w:val="20"/>
          <w:lang w:val="en-US"/>
        </w:rPr>
      </w:pPr>
      <m:oMath>
        <m:r>
          <w:rPr>
            <w:rFonts w:ascii="Cambria Math" w:eastAsiaTheme="minorHAnsi" w:hAnsi="Cambria Math" w:cs="Calibri"/>
            <w:sz w:val="20"/>
            <w:szCs w:val="20"/>
            <w:lang w:eastAsia="en-US"/>
          </w:rPr>
          <m:t>β=</m:t>
        </m:r>
        <m:f>
          <m:fPr>
            <m:ctrlPr>
              <w:rPr>
                <w:rFonts w:ascii="Cambria Math" w:eastAsiaTheme="minorHAnsi" w:hAnsi="Cambria Math" w:cs="Calibri"/>
                <w:i/>
                <w:iCs/>
                <w:sz w:val="20"/>
                <w:szCs w:val="20"/>
                <w:lang w:eastAsia="en-US"/>
              </w:rPr>
            </m:ctrlPr>
          </m:fPr>
          <m:num>
            <m:r>
              <w:rPr>
                <w:rFonts w:ascii="Cambria Math" w:eastAsiaTheme="minorHAnsi" w:hAnsi="Cambria Math" w:cs="Calibri"/>
                <w:sz w:val="20"/>
                <w:szCs w:val="20"/>
                <w:lang w:eastAsia="en-US"/>
              </w:rPr>
              <m:t>1</m:t>
            </m:r>
          </m:num>
          <m:den>
            <m:r>
              <w:rPr>
                <w:rFonts w:ascii="Cambria Math" w:eastAsiaTheme="minorHAnsi" w:hAnsi="Cambria Math" w:cs="Calibri"/>
                <w:sz w:val="20"/>
                <w:szCs w:val="20"/>
                <w:lang w:eastAsia="en-US"/>
              </w:rPr>
              <m:t>2</m:t>
            </m:r>
          </m:den>
        </m:f>
      </m:oMath>
      <w:r w:rsidRPr="00F43BF7">
        <w:rPr>
          <w:rFonts w:eastAsia="Times New Roman"/>
          <w:iCs/>
          <w:sz w:val="20"/>
          <w:szCs w:val="20"/>
          <w:lang w:eastAsia="en-US"/>
        </w:rPr>
        <w:t xml:space="preserve">, i.e., </w:t>
      </w:r>
      <m:oMath>
        <m:sSub>
          <m:sSubPr>
            <m:ctrlPr>
              <w:rPr>
                <w:rFonts w:ascii="Cambria Math" w:eastAsia="Times New Roman" w:hAnsi="Cambria Math"/>
                <w:b/>
                <w:i/>
                <w:iCs/>
                <w:color w:val="4472C4" w:themeColor="accent1"/>
                <w:sz w:val="20"/>
                <w:szCs w:val="20"/>
                <w:lang w:eastAsia="en-US"/>
              </w:rPr>
            </m:ctrlPr>
          </m:sSubPr>
          <m:e>
            <m:r>
              <m:rPr>
                <m:sty m:val="bi"/>
              </m:rPr>
              <w:rPr>
                <w:rFonts w:ascii="Cambria Math" w:eastAsia="Times New Roman" w:hAnsi="Cambria Math"/>
                <w:color w:val="4472C4" w:themeColor="accent1"/>
                <w:sz w:val="20"/>
                <w:szCs w:val="20"/>
                <w:lang w:eastAsia="en-US"/>
              </w:rPr>
              <m:t>K</m:t>
            </m:r>
          </m:e>
          <m:sub>
            <m:r>
              <m:rPr>
                <m:sty m:val="bi"/>
              </m:rPr>
              <w:rPr>
                <w:rFonts w:ascii="Cambria Math" w:eastAsia="Times New Roman" w:hAnsi="Cambria Math"/>
                <w:color w:val="4472C4" w:themeColor="accent1"/>
                <w:sz w:val="20"/>
                <w:szCs w:val="20"/>
                <w:lang w:eastAsia="en-US"/>
              </w:rPr>
              <m:t>0</m:t>
            </m:r>
          </m:sub>
        </m:sSub>
        <m:r>
          <m:rPr>
            <m:sty m:val="bi"/>
          </m:rPr>
          <w:rPr>
            <w:rFonts w:ascii="Cambria Math" w:eastAsia="Times New Roman" w:hAnsi="Cambria Math"/>
            <w:color w:val="4472C4" w:themeColor="accent1"/>
            <w:sz w:val="20"/>
            <w:szCs w:val="20"/>
            <w:lang w:eastAsia="en-US"/>
          </w:rPr>
          <m:t>=12&gt;2</m:t>
        </m:r>
        <m:r>
          <m:rPr>
            <m:sty m:val="bi"/>
          </m:rPr>
          <w:rPr>
            <w:rFonts w:ascii="Cambria Math" w:eastAsia="Times New Roman" w:hAnsi="Cambria Math"/>
            <w:color w:val="4472C4" w:themeColor="accent1"/>
            <w:sz w:val="20"/>
            <w:szCs w:val="20"/>
            <w:lang w:eastAsia="en-US"/>
          </w:rPr>
          <m:t>L</m:t>
        </m:r>
      </m:oMath>
      <w:r w:rsidRPr="00F43BF7">
        <w:rPr>
          <w:rFonts w:eastAsia="Times New Roman"/>
          <w:iCs/>
          <w:sz w:val="20"/>
          <w:szCs w:val="20"/>
          <w:lang w:val="en-US"/>
        </w:rPr>
        <w:t>;</w:t>
      </w:r>
    </w:p>
    <w:p w14:paraId="0B770A06" w14:textId="77777777" w:rsidR="00F43BF7" w:rsidRPr="00F43BF7" w:rsidRDefault="00F43BF7" w:rsidP="00F43BF7">
      <w:pPr>
        <w:pStyle w:val="ListParagraph"/>
        <w:ind w:left="1440"/>
        <w:contextualSpacing w:val="0"/>
        <w:rPr>
          <w:rFonts w:eastAsia="Times New Roman"/>
          <w:sz w:val="20"/>
          <w:szCs w:val="20"/>
          <w:lang w:val="en-US"/>
        </w:rPr>
      </w:pPr>
    </w:p>
    <w:p w14:paraId="51CB25A3" w14:textId="3FB79A86" w:rsidR="007E4329" w:rsidRDefault="00F43BF7" w:rsidP="00F43BF7">
      <w:pPr>
        <w:rPr>
          <w:noProof/>
          <w:lang w:val="en-US"/>
        </w:rPr>
      </w:pPr>
      <w:r>
        <w:rPr>
          <w:lang w:val="en-US"/>
        </w:rPr>
        <w:t xml:space="preserve">In practice, configurations 1 and 2 will yield our Rel-15 UPT benchmark, whereas configurations 3 and 4 will yield </w:t>
      </w:r>
      <w:r w:rsidR="002432F2">
        <w:rPr>
          <w:lang w:val="en-US"/>
        </w:rPr>
        <w:t xml:space="preserve">different scenarios for which different relationships between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2432F2">
        <w:rPr>
          <w:lang w:val="en-US"/>
        </w:rPr>
        <w:t xml:space="preserve"> and </w:t>
      </w:r>
      <m:oMath>
        <m:r>
          <w:rPr>
            <w:rFonts w:ascii="Cambria Math" w:hAnsi="Cambria Math"/>
            <w:lang w:val="en-US"/>
          </w:rPr>
          <m:t>2L</m:t>
        </m:r>
      </m:oMath>
      <w:r w:rsidR="002432F2">
        <w:rPr>
          <w:lang w:val="en-US"/>
        </w:rPr>
        <w:t xml:space="preserve">. The results of our tests are illustrated in Fig. 1, where all the UPT values are normalized against the performance of </w:t>
      </w:r>
      <w:r w:rsidR="002432F2" w:rsidRPr="00F43BF7">
        <w:rPr>
          <w:rFonts w:eastAsia="Times New Roman"/>
          <w:lang w:val="en-US"/>
        </w:rPr>
        <w:t xml:space="preserve">Rel-15 Type II, </w:t>
      </w:r>
      <m:oMath>
        <m:sSub>
          <m:sSubPr>
            <m:ctrlPr>
              <w:rPr>
                <w:rFonts w:ascii="Cambria Math" w:eastAsiaTheme="minorHAnsi" w:hAnsi="Cambria Math" w:cs="Calibri"/>
                <w:i/>
                <w:iCs/>
              </w:rPr>
            </m:ctrlPr>
          </m:sSubPr>
          <m:e>
            <m:r>
              <w:rPr>
                <w:rFonts w:ascii="Cambria Math" w:eastAsia="Times New Roman" w:hAnsi="Cambria Math"/>
                <w:lang w:val="en-US"/>
              </w:rPr>
              <m:t>N</m:t>
            </m:r>
          </m:e>
          <m:sub>
            <m:r>
              <w:rPr>
                <w:rFonts w:ascii="Cambria Math" w:eastAsia="Times New Roman" w:hAnsi="Cambria Math"/>
                <w:lang w:val="en-US"/>
              </w:rPr>
              <m:t>sb</m:t>
            </m:r>
          </m:sub>
        </m:sSub>
        <m:r>
          <w:rPr>
            <w:rFonts w:ascii="Cambria Math" w:eastAsia="Times New Roman" w:hAnsi="Cambria Math"/>
            <w:lang w:val="en-US"/>
          </w:rPr>
          <m:t>=3, L=2</m:t>
        </m:r>
      </m:oMath>
      <w:r w:rsidR="002432F2">
        <w:rPr>
          <w:rFonts w:eastAsia="Times New Roman"/>
          <w:iCs/>
          <w:lang w:val="en-US"/>
        </w:rPr>
        <w:t xml:space="preserve">, for simplicity, and </w:t>
      </w:r>
      <w:r w:rsidR="002432F2">
        <w:rPr>
          <w:rFonts w:eastAsia="Times New Roman"/>
          <w:iCs/>
        </w:rPr>
        <w:t>dynamic rank adaptation, RI</w:t>
      </w:r>
      <m:oMath>
        <m:r>
          <w:rPr>
            <w:rFonts w:ascii="Cambria Math" w:eastAsia="Times New Roman" w:hAnsi="Cambria Math"/>
          </w:rPr>
          <m:t>∈</m:t>
        </m:r>
        <m:d>
          <m:dPr>
            <m:begChr m:val="{"/>
            <m:endChr m:val="}"/>
            <m:ctrlPr>
              <w:rPr>
                <w:rFonts w:ascii="Cambria Math" w:eastAsia="Times New Roman" w:hAnsi="Cambria Math"/>
                <w:i/>
                <w:iCs/>
                <w:lang w:val="fi-FI"/>
              </w:rPr>
            </m:ctrlPr>
          </m:dPr>
          <m:e>
            <m:r>
              <w:rPr>
                <w:rFonts w:ascii="Cambria Math" w:eastAsia="Times New Roman" w:hAnsi="Cambria Math"/>
              </w:rPr>
              <m:t>1,2</m:t>
            </m:r>
          </m:e>
        </m:d>
      </m:oMath>
      <w:r w:rsidR="002432F2">
        <w:rPr>
          <w:rFonts w:eastAsia="Times New Roman"/>
          <w:iCs/>
          <w:lang w:val="fi-FI"/>
        </w:rPr>
        <w:t>,</w:t>
      </w:r>
      <w:r w:rsidR="002432F2">
        <w:rPr>
          <w:rFonts w:eastAsia="Times New Roman"/>
          <w:iCs/>
        </w:rPr>
        <w:t xml:space="preserve"> is assumed</w:t>
      </w:r>
      <w:r w:rsidR="002432F2">
        <w:rPr>
          <w:rFonts w:eastAsia="Times New Roman"/>
          <w:iCs/>
          <w:lang w:val="en-US"/>
        </w:rPr>
        <w:t>.</w:t>
      </w:r>
    </w:p>
    <w:p w14:paraId="072A5513" w14:textId="77777777" w:rsidR="007E4329" w:rsidRDefault="002432F2" w:rsidP="007E4329">
      <w:pPr>
        <w:keepNext/>
        <w:jc w:val="center"/>
      </w:pPr>
      <w:r>
        <w:rPr>
          <w:noProof/>
          <w:lang w:val="en-US"/>
        </w:rPr>
        <w:drawing>
          <wp:inline distT="0" distB="0" distL="0" distR="0" wp14:anchorId="03ED3E2E" wp14:editId="435A6F72">
            <wp:extent cx="4676400" cy="413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arison.emf"/>
                    <pic:cNvPicPr/>
                  </pic:nvPicPr>
                  <pic:blipFill rotWithShape="1">
                    <a:blip r:embed="rId21">
                      <a:extLst>
                        <a:ext uri="{28A0092B-C50C-407E-A947-70E740481C1C}">
                          <a14:useLocalDpi xmlns:a14="http://schemas.microsoft.com/office/drawing/2010/main" val="0"/>
                        </a:ext>
                      </a:extLst>
                    </a:blip>
                    <a:srcRect l="5405" t="3553" r="7352" b="2474"/>
                    <a:stretch/>
                  </pic:blipFill>
                  <pic:spPr bwMode="auto">
                    <a:xfrm>
                      <a:off x="0" y="0"/>
                      <a:ext cx="4676400" cy="4136400"/>
                    </a:xfrm>
                    <a:prstGeom prst="rect">
                      <a:avLst/>
                    </a:prstGeom>
                    <a:ln>
                      <a:noFill/>
                    </a:ln>
                    <a:extLst>
                      <a:ext uri="{53640926-AAD7-44D8-BBD7-CCE9431645EC}">
                        <a14:shadowObscured xmlns:a14="http://schemas.microsoft.com/office/drawing/2010/main"/>
                      </a:ext>
                    </a:extLst>
                  </pic:spPr>
                </pic:pic>
              </a:graphicData>
            </a:graphic>
          </wp:inline>
        </w:drawing>
      </w:r>
    </w:p>
    <w:p w14:paraId="18C59736" w14:textId="4B00F789" w:rsidR="002432F2" w:rsidRDefault="007E4329" w:rsidP="007E4329">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Normalized UPT of the considered system configurations</w:t>
      </w:r>
    </w:p>
    <w:p w14:paraId="4489F902" w14:textId="77777777" w:rsidR="00D44418" w:rsidRDefault="007E4329" w:rsidP="00F43BF7">
      <w:pPr>
        <w:rPr>
          <w:iCs/>
          <w:lang w:val="en-US"/>
        </w:rPr>
      </w:pPr>
      <w:r>
        <w:rPr>
          <w:lang w:val="en-US"/>
        </w:rPr>
        <w:t xml:space="preserve">As can be seen from the figure, the configurations for which </w:t>
      </w:r>
      <m:oMath>
        <m:sSub>
          <m:sSubPr>
            <m:ctrlPr>
              <w:rPr>
                <w:rFonts w:ascii="Cambria Math" w:eastAsiaTheme="minorHAnsi" w:hAnsi="Cambria Math" w:cs="Calibri"/>
                <w:i/>
                <w:iCs/>
                <w:sz w:val="22"/>
                <w:szCs w:val="22"/>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&lt;2L</m:t>
        </m:r>
      </m:oMath>
      <w:r>
        <w:rPr>
          <w:iCs/>
          <w:lang w:val="en-US"/>
        </w:rPr>
        <w:t xml:space="preserve"> yield lower UPT and higher overhead than the the corresponding Rel-15 counterpart, when the latter is configured with </w:t>
      </w:r>
      <m:oMath>
        <m:r>
          <w:rPr>
            <w:rFonts w:ascii="Cambria Math" w:hAnsi="Cambria Math"/>
            <w:lang w:val="en-US"/>
          </w:rPr>
          <m:t>L=2</m:t>
        </m:r>
      </m:oMath>
      <w:r>
        <w:rPr>
          <w:iCs/>
          <w:lang w:val="en-US"/>
        </w:rPr>
        <w:t xml:space="preserve">. Conversely, the performance of the </w:t>
      </w:r>
      <w:r>
        <w:rPr>
          <w:iCs/>
          <w:lang w:val="en-US"/>
        </w:rPr>
        <w:lastRenderedPageBreak/>
        <w:t xml:space="preserve">Rel-16 is larger than its Rel-15 counterpart when </w:t>
      </w:r>
      <m:oMath>
        <m:sSub>
          <m:sSubPr>
            <m:ctrlPr>
              <w:rPr>
                <w:rFonts w:ascii="Cambria Math" w:eastAsiaTheme="minorHAnsi" w:hAnsi="Cambria Math" w:cs="Calibri"/>
                <w:i/>
                <w:iCs/>
                <w:sz w:val="22"/>
                <w:szCs w:val="22"/>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≥2L</m:t>
        </m:r>
      </m:oMath>
      <w:r>
        <w:rPr>
          <w:iCs/>
          <w:lang w:val="en-US"/>
        </w:rPr>
        <w:t>, which is the condition for which Alt3.4 offers lower overhead than Alt3.3.</w:t>
      </w:r>
      <w:r w:rsidR="009B23C0">
        <w:rPr>
          <w:iCs/>
          <w:lang w:val="en-US"/>
        </w:rPr>
        <w:t xml:space="preserve"> Therefore, we argue that</w:t>
      </w:r>
      <w:r w:rsidR="00D44418">
        <w:rPr>
          <w:iCs/>
          <w:lang w:val="en-US"/>
        </w:rPr>
        <w:t>:</w:t>
      </w:r>
    </w:p>
    <w:p w14:paraId="1104C747" w14:textId="7BB97CE0" w:rsidR="00F43BF7" w:rsidRPr="00D44418" w:rsidRDefault="009B23C0" w:rsidP="00D44418">
      <w:pPr>
        <w:pStyle w:val="ListParagraph"/>
        <w:numPr>
          <w:ilvl w:val="0"/>
          <w:numId w:val="13"/>
        </w:numPr>
        <w:rPr>
          <w:sz w:val="20"/>
          <w:szCs w:val="20"/>
          <w:lang w:val="en-US"/>
        </w:rPr>
      </w:pPr>
      <w:r w:rsidRPr="00D44418">
        <w:rPr>
          <w:iCs/>
          <w:sz w:val="20"/>
          <w:szCs w:val="20"/>
          <w:lang w:val="en-US"/>
        </w:rPr>
        <w:t>there is no relevant case for which Alt3.4 is worse than Alt3.3 in terms of overhead</w:t>
      </w:r>
      <w:r w:rsidR="00D44418" w:rsidRPr="00D44418">
        <w:rPr>
          <w:iCs/>
          <w:sz w:val="20"/>
          <w:szCs w:val="20"/>
          <w:lang w:val="en-US"/>
        </w:rPr>
        <w:t>;</w:t>
      </w:r>
    </w:p>
    <w:p w14:paraId="15F88681" w14:textId="6EE10E96" w:rsidR="00D44418" w:rsidRPr="00D44418" w:rsidRDefault="00D44418" w:rsidP="00D44418">
      <w:pPr>
        <w:pStyle w:val="ListParagraph"/>
        <w:numPr>
          <w:ilvl w:val="0"/>
          <w:numId w:val="13"/>
        </w:numPr>
        <w:rPr>
          <w:sz w:val="20"/>
          <w:szCs w:val="20"/>
          <w:lang w:val="en-US"/>
        </w:rPr>
      </w:pPr>
      <w:r w:rsidRPr="00D44418">
        <w:rPr>
          <w:iCs/>
          <w:sz w:val="20"/>
          <w:szCs w:val="20"/>
          <w:lang w:eastAsia="en-US"/>
        </w:rPr>
        <w:t xml:space="preserve">system configurations for which </w:t>
      </w:r>
      <m:oMath>
        <m:sSub>
          <m:sSubPr>
            <m:ctrlPr>
              <w:rPr>
                <w:rFonts w:ascii="Cambria Math" w:eastAsiaTheme="minorHAnsi" w:hAnsi="Cambria Math" w:cs="Calibri"/>
                <w:i/>
                <w:iCs/>
                <w:sz w:val="20"/>
                <w:szCs w:val="20"/>
                <w:lang w:eastAsia="en-US"/>
              </w:rPr>
            </m:ctrlPr>
          </m:sSubPr>
          <m:e>
            <m:r>
              <w:rPr>
                <w:rFonts w:ascii="Cambria Math" w:hAnsi="Cambria Math"/>
                <w:sz w:val="20"/>
                <w:szCs w:val="20"/>
                <w:lang w:val="en-US"/>
              </w:rPr>
              <m:t>K</m:t>
            </m:r>
          </m:e>
          <m:sub>
            <m:r>
              <w:rPr>
                <w:rFonts w:ascii="Cambria Math" w:hAnsi="Cambria Math"/>
                <w:sz w:val="20"/>
                <w:szCs w:val="20"/>
                <w:lang w:val="en-US"/>
              </w:rPr>
              <m:t>0</m:t>
            </m:r>
          </m:sub>
        </m:sSub>
        <m:r>
          <w:rPr>
            <w:rFonts w:ascii="Cambria Math" w:hAnsi="Cambria Math"/>
            <w:sz w:val="20"/>
            <w:szCs w:val="20"/>
            <w:lang w:val="en-US"/>
          </w:rPr>
          <m:t>&lt;2L</m:t>
        </m:r>
      </m:oMath>
      <w:r w:rsidRPr="00D44418">
        <w:rPr>
          <w:iCs/>
          <w:sz w:val="20"/>
          <w:szCs w:val="20"/>
          <w:lang w:val="en-US"/>
        </w:rPr>
        <w:t xml:space="preserve"> fail to meet the UPT/overhead requirements of Rel-16 WID.</w:t>
      </w:r>
    </w:p>
    <w:p w14:paraId="4AF97E56" w14:textId="77777777" w:rsidR="00D44418" w:rsidRPr="00D44418" w:rsidRDefault="00D44418" w:rsidP="00D44418">
      <w:pPr>
        <w:pStyle w:val="ListParagraph"/>
        <w:ind w:left="770"/>
        <w:rPr>
          <w:sz w:val="20"/>
          <w:szCs w:val="20"/>
          <w:lang w:val="en-US"/>
        </w:rPr>
      </w:pPr>
    </w:p>
    <w:p w14:paraId="3979790E" w14:textId="5A9B63C1" w:rsidR="00D44418" w:rsidRPr="00D44418" w:rsidRDefault="009B23C0" w:rsidP="009B23C0">
      <w:pPr>
        <w:rPr>
          <w:b/>
          <w:iCs/>
          <w:lang w:val="en-US"/>
        </w:rPr>
      </w:pPr>
      <w:r w:rsidRPr="003F7C2F">
        <w:rPr>
          <w:b/>
          <w:i/>
        </w:rPr>
        <w:t xml:space="preserve">Observation 1. </w:t>
      </w:r>
      <w:r w:rsidR="00D44418" w:rsidRPr="003F7C2F">
        <w:rPr>
          <w:b/>
          <w:i/>
        </w:rPr>
        <w:t xml:space="preserve">When </w:t>
      </w:r>
      <m:oMath>
        <m:sSub>
          <m:sSubPr>
            <m:ctrlPr>
              <w:rPr>
                <w:rFonts w:ascii="Cambria Math" w:eastAsiaTheme="minorHAnsi" w:hAnsi="Cambria Math" w:cs="Calibri"/>
                <w:b/>
                <w:i/>
                <w:iCs/>
                <w:sz w:val="22"/>
                <w:szCs w:val="22"/>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&lt;2</m:t>
        </m:r>
        <m:r>
          <m:rPr>
            <m:sty m:val="bi"/>
          </m:rPr>
          <w:rPr>
            <w:rFonts w:ascii="Cambria Math" w:hAnsi="Cambria Math"/>
            <w:lang w:val="en-US"/>
          </w:rPr>
          <m:t>L</m:t>
        </m:r>
      </m:oMath>
      <w:r w:rsidR="00D44418" w:rsidRPr="003F7C2F">
        <w:rPr>
          <w:b/>
          <w:i/>
          <w:iCs/>
          <w:lang w:val="en-US"/>
        </w:rPr>
        <w:t xml:space="preserve">  Rel-16 is outperformed by Rel-15. System configurations for which this situation occurs should be considered corner cases which fail to meet the UPT/overhead requirements of Rel-16 WID</w:t>
      </w:r>
      <w:r w:rsidR="00D44418" w:rsidRPr="00D44418">
        <w:rPr>
          <w:b/>
          <w:iCs/>
          <w:lang w:val="en-US"/>
        </w:rPr>
        <w:t xml:space="preserve">. </w:t>
      </w:r>
    </w:p>
    <w:p w14:paraId="7A53EC83" w14:textId="32A88DC0" w:rsidR="00D44418" w:rsidRDefault="00D44418" w:rsidP="00D44418">
      <w:pPr>
        <w:rPr>
          <w:iCs/>
          <w:lang w:val="en-US"/>
        </w:rPr>
      </w:pPr>
      <w:r w:rsidRPr="005A04FB">
        <w:rPr>
          <w:b/>
          <w:i/>
        </w:rPr>
        <w:t xml:space="preserve">Observation </w:t>
      </w:r>
      <w:r>
        <w:rPr>
          <w:b/>
          <w:i/>
        </w:rPr>
        <w:t>2</w:t>
      </w:r>
      <w:r w:rsidRPr="005A04FB">
        <w:rPr>
          <w:b/>
          <w:i/>
        </w:rPr>
        <w:t xml:space="preserve">. </w:t>
      </w:r>
      <w:r>
        <w:rPr>
          <w:b/>
          <w:i/>
        </w:rPr>
        <w:t xml:space="preserve">There is not relevant case for which Alt3.4 is worse than Alt3.3 in terms of overhead. </w:t>
      </w:r>
    </w:p>
    <w:p w14:paraId="20BF2BAD" w14:textId="6BD524BD" w:rsidR="00D44418" w:rsidRDefault="00D44418" w:rsidP="0061513B">
      <w:r>
        <w:t>Remarkably, Alt3.4 offers further advantages over Alt3.3, possibly less evident at first glance but significant nonetheless:</w:t>
      </w:r>
    </w:p>
    <w:p w14:paraId="35FA6089" w14:textId="271E2BCF" w:rsidR="00D44418" w:rsidRPr="00DE3A53" w:rsidRDefault="00D44418" w:rsidP="00677AFC">
      <w:pPr>
        <w:pStyle w:val="ListParagraph"/>
        <w:numPr>
          <w:ilvl w:val="0"/>
          <w:numId w:val="8"/>
        </w:numPr>
        <w:contextualSpacing w:val="0"/>
        <w:rPr>
          <w:rFonts w:eastAsia="Times New Roman"/>
          <w:sz w:val="20"/>
          <w:szCs w:val="20"/>
          <w:lang w:val="en-US"/>
        </w:rPr>
      </w:pPr>
      <w:r w:rsidRPr="00DE3A53">
        <w:rPr>
          <w:rFonts w:eastAsia="Times New Roman"/>
          <w:sz w:val="20"/>
          <w:szCs w:val="20"/>
          <w:lang w:val="en-US"/>
        </w:rPr>
        <w:t xml:space="preserve">The SCI signaled using </w:t>
      </w:r>
      <m:oMath>
        <m:func>
          <m:funcPr>
            <m:ctrlPr>
              <w:rPr>
                <w:rFonts w:ascii="Cambria Math" w:eastAsiaTheme="minorHAnsi" w:hAnsi="Cambria Math"/>
                <w:i/>
                <w:iCs/>
                <w:sz w:val="20"/>
                <w:szCs w:val="20"/>
                <w:lang w:val="en-GB" w:eastAsia="en-US"/>
              </w:rPr>
            </m:ctrlPr>
          </m:funcPr>
          <m:fName>
            <m:sSub>
              <m:sSubPr>
                <m:ctrlPr>
                  <w:rPr>
                    <w:rFonts w:ascii="Cambria Math" w:eastAsiaTheme="minorHAnsi" w:hAnsi="Cambria Math"/>
                    <w:i/>
                    <w:iCs/>
                    <w:sz w:val="20"/>
                    <w:szCs w:val="20"/>
                    <w:lang w:val="en-GB" w:eastAsia="en-US"/>
                  </w:rPr>
                </m:ctrlPr>
              </m:sSubPr>
              <m:e>
                <m:r>
                  <m:rPr>
                    <m:sty m:val="p"/>
                  </m:rPr>
                  <w:rPr>
                    <w:rFonts w:ascii="Cambria Math" w:eastAsia="Times New Roman" w:hAnsi="Cambria Math"/>
                    <w:sz w:val="20"/>
                    <w:szCs w:val="20"/>
                    <w:lang w:val="en-US"/>
                  </w:rPr>
                  <m:t>log</m:t>
                </m:r>
                <m:ctrlPr>
                  <w:rPr>
                    <w:rFonts w:ascii="Cambria Math" w:eastAsiaTheme="minorHAnsi" w:hAnsi="Cambria Math"/>
                    <w:sz w:val="20"/>
                    <w:szCs w:val="20"/>
                    <w:lang w:val="en-GB" w:eastAsia="en-US"/>
                  </w:rPr>
                </m:ctrlPr>
              </m:e>
              <m:sub>
                <m:r>
                  <w:rPr>
                    <w:rFonts w:ascii="Cambria Math" w:eastAsia="Times New Roman" w:hAnsi="Cambria Math"/>
                    <w:sz w:val="20"/>
                    <w:szCs w:val="20"/>
                    <w:lang w:val="en-US"/>
                  </w:rPr>
                  <m:t>2</m:t>
                </m:r>
                <m:ctrlPr>
                  <w:rPr>
                    <w:rFonts w:ascii="Cambria Math" w:eastAsiaTheme="minorHAnsi" w:hAnsi="Cambria Math"/>
                    <w:sz w:val="20"/>
                    <w:szCs w:val="20"/>
                    <w:lang w:val="en-GB" w:eastAsia="en-US"/>
                  </w:rPr>
                </m:ctrlPr>
              </m:sub>
            </m:sSub>
          </m:fName>
          <m:e>
            <m:r>
              <w:rPr>
                <w:rFonts w:ascii="Cambria Math" w:eastAsia="Times New Roman" w:hAnsi="Cambria Math"/>
                <w:sz w:val="20"/>
                <w:szCs w:val="20"/>
                <w:lang w:val="en-US"/>
              </w:rPr>
              <m:t>2L</m:t>
            </m:r>
          </m:e>
        </m:func>
      </m:oMath>
      <w:r w:rsidRPr="00DE3A53">
        <w:rPr>
          <w:rFonts w:eastAsia="Times New Roman"/>
          <w:sz w:val="20"/>
          <w:szCs w:val="20"/>
          <w:lang w:val="en-US"/>
        </w:rPr>
        <w:t xml:space="preserve"> bits, i.e., making use of the cyclic-shift property, gives as a deterministic information on the FD component where the strongest coefficient (SC) is located in each layer and a very reliable information on</w:t>
      </w:r>
      <w:r w:rsidR="00DE3A53" w:rsidRPr="00DE3A53">
        <w:rPr>
          <w:rFonts w:eastAsia="Times New Roman"/>
          <w:sz w:val="20"/>
          <w:szCs w:val="20"/>
          <w:lang w:val="en-US"/>
        </w:rPr>
        <w:t xml:space="preserve"> both</w:t>
      </w:r>
      <w:r w:rsidRPr="00DE3A53">
        <w:rPr>
          <w:rFonts w:eastAsia="Times New Roman"/>
          <w:sz w:val="20"/>
          <w:szCs w:val="20"/>
          <w:lang w:val="en-US"/>
        </w:rPr>
        <w:t xml:space="preserve"> its associated SD component</w:t>
      </w:r>
      <w:r w:rsidR="00DE3A53" w:rsidRPr="00DE3A53">
        <w:rPr>
          <w:rFonts w:eastAsia="Times New Roman"/>
          <w:sz w:val="20"/>
          <w:szCs w:val="20"/>
          <w:lang w:val="en-US"/>
        </w:rPr>
        <w:t xml:space="preserve"> and polarization</w:t>
      </w:r>
      <w:r w:rsidRPr="00DE3A53">
        <w:rPr>
          <w:rFonts w:eastAsia="Times New Roman"/>
          <w:sz w:val="20"/>
          <w:szCs w:val="20"/>
          <w:lang w:val="en-US"/>
        </w:rPr>
        <w:t xml:space="preserve">. </w:t>
      </w:r>
      <w:r w:rsidR="00DE3A53" w:rsidRPr="00DE3A53">
        <w:rPr>
          <w:rFonts w:eastAsia="Times New Roman"/>
          <w:sz w:val="20"/>
          <w:szCs w:val="20"/>
          <w:lang w:val="en-US"/>
        </w:rPr>
        <w:t>Therefore</w:t>
      </w:r>
      <w:r w:rsidRPr="00DE3A53">
        <w:rPr>
          <w:rFonts w:eastAsia="Times New Roman"/>
          <w:sz w:val="20"/>
          <w:szCs w:val="20"/>
          <w:lang w:val="en-US"/>
        </w:rPr>
        <w:t xml:space="preserve">, </w:t>
      </w:r>
      <w:r w:rsidR="00DE3A53" w:rsidRPr="00DE3A53">
        <w:rPr>
          <w:rFonts w:eastAsia="Times New Roman"/>
          <w:sz w:val="20"/>
          <w:szCs w:val="20"/>
          <w:lang w:val="en-US"/>
        </w:rPr>
        <w:t xml:space="preserve">an SCI according to Alt3.4 already provides all the necessary information for designing extremely flexible, and yet unambiguous, </w:t>
      </w:r>
      <w:r w:rsidRPr="00DE3A53">
        <w:rPr>
          <w:rFonts w:eastAsia="Times New Roman"/>
          <w:sz w:val="20"/>
          <w:szCs w:val="20"/>
          <w:lang w:val="en-US"/>
        </w:rPr>
        <w:t xml:space="preserve">UCI omission rules for SD components, FD components, polarizations, quantized LCC without any limitations. </w:t>
      </w:r>
      <w:r w:rsidR="00DE3A53" w:rsidRPr="00DE3A53">
        <w:rPr>
          <w:rFonts w:eastAsia="Times New Roman"/>
          <w:sz w:val="20"/>
          <w:szCs w:val="20"/>
          <w:lang w:val="en-GB" w:eastAsia="en-US"/>
        </w:rPr>
        <w:t xml:space="preserve">In other words, Alt3.4 allows to define simple omission rules, like dropping of a fixed portion of FD components or a polarization with much lower performance loss because UE can always that guarantee the strongest coefficient and the stronger polarization are never in the dropped segment, without extra signalling cost. In practice, no additional UCI signalling would be needed (more than an SCI according to Alt3.4) and yet no ambiguity would be present at the gNB or UE for the omissions. Conversely, </w:t>
      </w:r>
      <w:r w:rsidR="00DE3A53">
        <w:rPr>
          <w:rFonts w:eastAsia="Times New Roman"/>
          <w:sz w:val="20"/>
          <w:szCs w:val="20"/>
          <w:lang w:val="en-GB"/>
        </w:rPr>
        <w:t>t</w:t>
      </w:r>
      <w:r w:rsidRPr="00DE3A53">
        <w:rPr>
          <w:rFonts w:eastAsia="Times New Roman"/>
          <w:sz w:val="20"/>
          <w:szCs w:val="20"/>
          <w:lang w:val="en-US"/>
        </w:rPr>
        <w:t xml:space="preserve">he SCI signaled </w:t>
      </w:r>
      <w:r w:rsidR="00DE3A53">
        <w:rPr>
          <w:rFonts w:eastAsia="Times New Roman"/>
          <w:sz w:val="20"/>
          <w:szCs w:val="20"/>
          <w:lang w:val="en-US"/>
        </w:rPr>
        <w:t>as per Alt3.3, i.e.,</w:t>
      </w:r>
      <w:r w:rsidRPr="00DE3A53">
        <w:rPr>
          <w:rFonts w:eastAsia="Times New Roman"/>
          <w:sz w:val="20"/>
          <w:szCs w:val="20"/>
          <w:lang w:val="en-US"/>
        </w:rPr>
        <w:t xml:space="preserve"> making use of the bitmap </w:t>
      </w:r>
      <w:r w:rsidR="00DE3A53" w:rsidRPr="00DE3A53">
        <w:rPr>
          <w:rFonts w:eastAsia="Times New Roman"/>
          <w:sz w:val="20"/>
          <w:szCs w:val="20"/>
          <w:lang w:val="en-US"/>
        </w:rPr>
        <w:t xml:space="preserve">as per Alt3.3, </w:t>
      </w:r>
      <w:r w:rsidR="00DE3A53">
        <w:rPr>
          <w:rFonts w:eastAsia="Times New Roman"/>
          <w:sz w:val="20"/>
          <w:szCs w:val="20"/>
          <w:lang w:val="en-US"/>
        </w:rPr>
        <w:t>would</w:t>
      </w:r>
      <w:r w:rsidRPr="00DE3A53">
        <w:rPr>
          <w:rFonts w:eastAsia="Times New Roman"/>
          <w:sz w:val="20"/>
          <w:szCs w:val="20"/>
          <w:lang w:val="en-US"/>
        </w:rPr>
        <w:t xml:space="preserve"> not </w:t>
      </w:r>
      <w:r w:rsidR="00DE3A53">
        <w:rPr>
          <w:rFonts w:eastAsia="Times New Roman"/>
          <w:sz w:val="20"/>
          <w:szCs w:val="20"/>
          <w:lang w:val="en-US"/>
        </w:rPr>
        <w:t xml:space="preserve">be </w:t>
      </w:r>
      <w:r w:rsidRPr="00DE3A53">
        <w:rPr>
          <w:rFonts w:eastAsia="Times New Roman"/>
          <w:sz w:val="20"/>
          <w:szCs w:val="20"/>
          <w:lang w:val="en-US"/>
        </w:rPr>
        <w:t>as informative as</w:t>
      </w:r>
      <w:r w:rsidR="00DE3A53">
        <w:rPr>
          <w:rFonts w:eastAsia="Times New Roman"/>
          <w:sz w:val="20"/>
          <w:szCs w:val="20"/>
          <w:lang w:val="en-US"/>
        </w:rPr>
        <w:t xml:space="preserve"> </w:t>
      </w:r>
      <w:r w:rsidR="00DE3A53" w:rsidRPr="00DE3A53">
        <w:rPr>
          <w:rFonts w:eastAsia="Times New Roman"/>
          <w:sz w:val="20"/>
          <w:szCs w:val="20"/>
          <w:lang w:val="en-US"/>
        </w:rPr>
        <w:t>Alt3.4</w:t>
      </w:r>
      <w:r w:rsidRPr="00DE3A53">
        <w:rPr>
          <w:rFonts w:eastAsia="Times New Roman"/>
          <w:sz w:val="20"/>
          <w:szCs w:val="20"/>
          <w:lang w:val="en-US"/>
        </w:rPr>
        <w:t xml:space="preserve">. In fact, such SCI would not be sufficient to identify both the FD and the SD component, or the polarization, where the SC is located without ambiguity or additional signaling. In this sense, UCI omission rules could become more complex to design and limitations may exist unless further </w:t>
      </w:r>
      <w:r w:rsidR="00DE3A53">
        <w:rPr>
          <w:rFonts w:eastAsia="Times New Roman"/>
          <w:sz w:val="20"/>
          <w:szCs w:val="20"/>
          <w:lang w:val="en-US"/>
        </w:rPr>
        <w:t xml:space="preserve">UCI </w:t>
      </w:r>
      <w:r w:rsidRPr="00DE3A53">
        <w:rPr>
          <w:rFonts w:eastAsia="Times New Roman"/>
          <w:sz w:val="20"/>
          <w:szCs w:val="20"/>
          <w:lang w:val="en-US"/>
        </w:rPr>
        <w:t xml:space="preserve">signaling </w:t>
      </w:r>
      <w:r w:rsidR="00DE3A53">
        <w:rPr>
          <w:rFonts w:eastAsia="Times New Roman"/>
          <w:sz w:val="20"/>
          <w:szCs w:val="20"/>
          <w:lang w:val="en-US"/>
        </w:rPr>
        <w:t xml:space="preserve">is specified </w:t>
      </w:r>
      <w:r w:rsidRPr="00DE3A53">
        <w:rPr>
          <w:rFonts w:eastAsia="Times New Roman"/>
          <w:sz w:val="20"/>
          <w:szCs w:val="20"/>
          <w:lang w:val="en-US"/>
        </w:rPr>
        <w:t xml:space="preserve">(with increasing overhead and unnecessary “patches” to fix </w:t>
      </w:r>
      <w:r w:rsidR="00DE3A53">
        <w:rPr>
          <w:rFonts w:eastAsia="Times New Roman"/>
          <w:sz w:val="20"/>
          <w:szCs w:val="20"/>
          <w:lang w:val="en-US"/>
        </w:rPr>
        <w:t>a sub-optimal SCI decision)</w:t>
      </w:r>
      <w:r w:rsidRPr="00DE3A53">
        <w:rPr>
          <w:rFonts w:eastAsia="Times New Roman"/>
          <w:sz w:val="20"/>
          <w:szCs w:val="20"/>
          <w:lang w:val="en-US"/>
        </w:rPr>
        <w:t xml:space="preserve">. </w:t>
      </w:r>
    </w:p>
    <w:p w14:paraId="3C824250" w14:textId="77777777" w:rsidR="005A0F31" w:rsidRDefault="00D44418" w:rsidP="005A0F31">
      <w:pPr>
        <w:pStyle w:val="ListParagraph"/>
        <w:numPr>
          <w:ilvl w:val="0"/>
          <w:numId w:val="8"/>
        </w:numPr>
        <w:contextualSpacing w:val="0"/>
        <w:rPr>
          <w:rFonts w:eastAsia="Times New Roman"/>
          <w:sz w:val="20"/>
          <w:szCs w:val="20"/>
          <w:lang w:val="en-US"/>
        </w:rPr>
      </w:pPr>
      <w:r w:rsidRPr="00217320">
        <w:rPr>
          <w:rFonts w:eastAsia="Times New Roman"/>
          <w:sz w:val="20"/>
          <w:szCs w:val="20"/>
          <w:lang w:val="en-US"/>
        </w:rPr>
        <w:t xml:space="preserve">The robustness </w:t>
      </w:r>
      <w:r w:rsidR="00DE3A53">
        <w:rPr>
          <w:rFonts w:eastAsia="Times New Roman"/>
          <w:sz w:val="20"/>
          <w:szCs w:val="20"/>
          <w:lang w:val="en-US"/>
        </w:rPr>
        <w:t xml:space="preserve">to decoding errors </w:t>
      </w:r>
      <w:r w:rsidRPr="00217320">
        <w:rPr>
          <w:rFonts w:eastAsia="Times New Roman"/>
          <w:sz w:val="20"/>
          <w:szCs w:val="20"/>
          <w:lang w:val="en-US"/>
        </w:rPr>
        <w:t xml:space="preserve">of the SCI signaled </w:t>
      </w:r>
      <w:r w:rsidR="00DE3A53">
        <w:rPr>
          <w:rFonts w:eastAsia="Times New Roman"/>
          <w:sz w:val="20"/>
          <w:szCs w:val="20"/>
          <w:lang w:val="en-US"/>
        </w:rPr>
        <w:t xml:space="preserve">as per Alt3.4, i.e., </w:t>
      </w:r>
      <w:r w:rsidRPr="00217320">
        <w:rPr>
          <w:rFonts w:eastAsia="Times New Roman"/>
          <w:sz w:val="20"/>
          <w:szCs w:val="20"/>
          <w:lang w:val="en-US"/>
        </w:rPr>
        <w:t>using</w:t>
      </w:r>
      <w:r w:rsidR="00DE3A53">
        <w:rPr>
          <w:rFonts w:eastAsia="Times New Roman"/>
          <w:sz w:val="20"/>
          <w:szCs w:val="20"/>
          <w:lang w:val="en-US"/>
        </w:rPr>
        <w:t xml:space="preserve"> </w:t>
      </w:r>
      <m:oMath>
        <m:func>
          <m:funcPr>
            <m:ctrlPr>
              <w:rPr>
                <w:rFonts w:ascii="Cambria Math" w:eastAsiaTheme="minorHAnsi" w:hAnsi="Cambria Math"/>
                <w:i/>
                <w:iCs/>
                <w:sz w:val="20"/>
                <w:szCs w:val="20"/>
                <w:lang w:val="en-GB" w:eastAsia="en-US"/>
              </w:rPr>
            </m:ctrlPr>
          </m:funcPr>
          <m:fName>
            <m:sSub>
              <m:sSubPr>
                <m:ctrlPr>
                  <w:rPr>
                    <w:rFonts w:ascii="Cambria Math" w:eastAsiaTheme="minorHAnsi" w:hAnsi="Cambria Math"/>
                    <w:i/>
                    <w:iCs/>
                    <w:sz w:val="20"/>
                    <w:szCs w:val="20"/>
                    <w:lang w:val="en-GB" w:eastAsia="en-US"/>
                  </w:rPr>
                </m:ctrlPr>
              </m:sSubPr>
              <m:e>
                <m:r>
                  <m:rPr>
                    <m:sty m:val="p"/>
                  </m:rPr>
                  <w:rPr>
                    <w:rFonts w:ascii="Cambria Math" w:eastAsia="Times New Roman" w:hAnsi="Cambria Math"/>
                    <w:sz w:val="20"/>
                    <w:szCs w:val="20"/>
                    <w:lang w:val="en-US"/>
                  </w:rPr>
                  <m:t>log</m:t>
                </m:r>
                <m:ctrlPr>
                  <w:rPr>
                    <w:rFonts w:ascii="Cambria Math" w:eastAsiaTheme="minorHAnsi" w:hAnsi="Cambria Math"/>
                    <w:sz w:val="20"/>
                    <w:szCs w:val="20"/>
                    <w:lang w:val="en-GB" w:eastAsia="en-US"/>
                  </w:rPr>
                </m:ctrlPr>
              </m:e>
              <m:sub>
                <m:r>
                  <w:rPr>
                    <w:rFonts w:ascii="Cambria Math" w:eastAsia="Times New Roman" w:hAnsi="Cambria Math"/>
                    <w:sz w:val="20"/>
                    <w:szCs w:val="20"/>
                    <w:lang w:val="en-US"/>
                  </w:rPr>
                  <m:t>2</m:t>
                </m:r>
                <m:ctrlPr>
                  <w:rPr>
                    <w:rFonts w:ascii="Cambria Math" w:eastAsiaTheme="minorHAnsi" w:hAnsi="Cambria Math"/>
                    <w:sz w:val="20"/>
                    <w:szCs w:val="20"/>
                    <w:lang w:val="en-GB" w:eastAsia="en-US"/>
                  </w:rPr>
                </m:ctrlPr>
              </m:sub>
            </m:sSub>
          </m:fName>
          <m:e>
            <m:r>
              <w:rPr>
                <w:rFonts w:ascii="Cambria Math" w:eastAsia="Times New Roman" w:hAnsi="Cambria Math"/>
                <w:sz w:val="20"/>
                <w:szCs w:val="20"/>
                <w:lang w:val="en-US"/>
              </w:rPr>
              <m:t>2L</m:t>
            </m:r>
          </m:e>
        </m:func>
      </m:oMath>
      <w:r w:rsidRPr="00217320">
        <w:rPr>
          <w:rFonts w:eastAsia="Times New Roman"/>
          <w:sz w:val="20"/>
          <w:szCs w:val="20"/>
          <w:lang w:val="en-US"/>
        </w:rPr>
        <w:t xml:space="preserve"> bits</w:t>
      </w:r>
      <w:r w:rsidR="00DE3A53">
        <w:rPr>
          <w:rFonts w:eastAsia="Times New Roman"/>
          <w:sz w:val="20"/>
          <w:szCs w:val="20"/>
          <w:lang w:val="en-US"/>
        </w:rPr>
        <w:t>,</w:t>
      </w:r>
      <w:r w:rsidRPr="00217320">
        <w:rPr>
          <w:rFonts w:eastAsia="Times New Roman"/>
          <w:sz w:val="20"/>
          <w:szCs w:val="20"/>
          <w:lang w:val="en-US"/>
        </w:rPr>
        <w:t xml:space="preserve"> is arguably larger than </w:t>
      </w:r>
      <w:r w:rsidR="005A0F31">
        <w:rPr>
          <w:rFonts w:eastAsia="Times New Roman"/>
          <w:sz w:val="20"/>
          <w:szCs w:val="20"/>
          <w:lang w:val="en-US"/>
        </w:rPr>
        <w:t xml:space="preserve">if the SCI is signaled as per Alt3.3, i.e., </w:t>
      </w:r>
      <w:r w:rsidRPr="00217320">
        <w:rPr>
          <w:rFonts w:eastAsia="Times New Roman"/>
          <w:sz w:val="20"/>
          <w:szCs w:val="20"/>
          <w:lang w:val="en-US"/>
        </w:rPr>
        <w:t xml:space="preserve">approaches which rely on the correct decoding of the bitmaps for the SCI to be correctly decoded as well. Concerning the latter approaches, we should </w:t>
      </w:r>
      <w:r w:rsidR="005A0F31">
        <w:rPr>
          <w:rFonts w:eastAsia="Times New Roman"/>
          <w:sz w:val="20"/>
          <w:szCs w:val="20"/>
          <w:lang w:val="en-US"/>
        </w:rPr>
        <w:t xml:space="preserve">in fact </w:t>
      </w:r>
      <w:r w:rsidRPr="00217320">
        <w:rPr>
          <w:rFonts w:eastAsia="Times New Roman"/>
          <w:sz w:val="20"/>
          <w:szCs w:val="20"/>
          <w:lang w:val="en-US"/>
        </w:rPr>
        <w:t xml:space="preserve">note that an error in the bitmap (a </w:t>
      </w:r>
      <w:r w:rsidR="005A0F31">
        <w:rPr>
          <w:rFonts w:eastAsia="Times New Roman"/>
          <w:sz w:val="20"/>
          <w:szCs w:val="20"/>
          <w:lang w:val="en-US"/>
        </w:rPr>
        <w:t>‘</w:t>
      </w:r>
      <w:r w:rsidRPr="00217320">
        <w:rPr>
          <w:rFonts w:eastAsia="Times New Roman"/>
          <w:sz w:val="20"/>
          <w:szCs w:val="20"/>
          <w:lang w:val="en-US"/>
        </w:rPr>
        <w:t>1</w:t>
      </w:r>
      <w:r w:rsidR="005A0F31">
        <w:rPr>
          <w:rFonts w:eastAsia="Times New Roman"/>
          <w:sz w:val="20"/>
          <w:szCs w:val="20"/>
          <w:lang w:val="en-US"/>
        </w:rPr>
        <w:t>’</w:t>
      </w:r>
      <w:r w:rsidRPr="00217320">
        <w:rPr>
          <w:rFonts w:eastAsia="Times New Roman"/>
          <w:sz w:val="20"/>
          <w:szCs w:val="20"/>
          <w:lang w:val="en-US"/>
        </w:rPr>
        <w:t xml:space="preserve"> which is decoded as </w:t>
      </w:r>
      <w:r w:rsidR="005A0F31">
        <w:rPr>
          <w:rFonts w:eastAsia="Times New Roman"/>
          <w:sz w:val="20"/>
          <w:szCs w:val="20"/>
          <w:lang w:val="en-US"/>
        </w:rPr>
        <w:t>‘</w:t>
      </w:r>
      <w:r w:rsidRPr="00217320">
        <w:rPr>
          <w:rFonts w:eastAsia="Times New Roman"/>
          <w:sz w:val="20"/>
          <w:szCs w:val="20"/>
          <w:lang w:val="en-US"/>
        </w:rPr>
        <w:t>0</w:t>
      </w:r>
      <w:r w:rsidR="005A0F31">
        <w:rPr>
          <w:rFonts w:eastAsia="Times New Roman"/>
          <w:sz w:val="20"/>
          <w:szCs w:val="20"/>
          <w:lang w:val="en-US"/>
        </w:rPr>
        <w:t>’,</w:t>
      </w:r>
      <w:r w:rsidRPr="00217320">
        <w:rPr>
          <w:rFonts w:eastAsia="Times New Roman"/>
          <w:sz w:val="20"/>
          <w:szCs w:val="20"/>
          <w:lang w:val="en-US"/>
        </w:rPr>
        <w:t xml:space="preserve"> or viceversa) may completely invalidate the SCI and result in significant performance losses. In fact, CRC</w:t>
      </w:r>
      <w:r w:rsidR="005A0F31">
        <w:rPr>
          <w:rFonts w:eastAsia="Times New Roman"/>
          <w:sz w:val="20"/>
          <w:szCs w:val="20"/>
          <w:lang w:val="en-US"/>
        </w:rPr>
        <w:t xml:space="preserve">, albeit a powerful tool, </w:t>
      </w:r>
      <w:r w:rsidRPr="00217320">
        <w:rPr>
          <w:rFonts w:eastAsia="Times New Roman"/>
          <w:sz w:val="20"/>
          <w:szCs w:val="20"/>
          <w:lang w:val="en-US"/>
        </w:rPr>
        <w:t>can</w:t>
      </w:r>
      <w:r w:rsidR="005A0F31">
        <w:rPr>
          <w:rFonts w:eastAsia="Times New Roman"/>
          <w:sz w:val="20"/>
          <w:szCs w:val="20"/>
          <w:lang w:val="en-US"/>
        </w:rPr>
        <w:t>not guarantee the</w:t>
      </w:r>
      <w:r w:rsidRPr="00217320">
        <w:rPr>
          <w:rFonts w:eastAsia="Times New Roman"/>
          <w:sz w:val="20"/>
          <w:szCs w:val="20"/>
          <w:lang w:val="en-US"/>
        </w:rPr>
        <w:t xml:space="preserve"> correct</w:t>
      </w:r>
      <w:r w:rsidR="005A0F31">
        <w:rPr>
          <w:rFonts w:eastAsia="Times New Roman"/>
          <w:sz w:val="20"/>
          <w:szCs w:val="20"/>
          <w:lang w:val="en-US"/>
        </w:rPr>
        <w:t>ion of</w:t>
      </w:r>
      <w:r w:rsidRPr="00217320">
        <w:rPr>
          <w:rFonts w:eastAsia="Times New Roman"/>
          <w:sz w:val="20"/>
          <w:szCs w:val="20"/>
          <w:lang w:val="en-US"/>
        </w:rPr>
        <w:t xml:space="preserve"> any</w:t>
      </w:r>
      <w:r w:rsidR="005A0F31">
        <w:rPr>
          <w:rFonts w:eastAsia="Times New Roman"/>
          <w:sz w:val="20"/>
          <w:szCs w:val="20"/>
          <w:lang w:val="en-US"/>
        </w:rPr>
        <w:t xml:space="preserve"> number of decoding errors</w:t>
      </w:r>
      <w:r w:rsidRPr="00217320">
        <w:rPr>
          <w:rFonts w:eastAsia="Times New Roman"/>
          <w:sz w:val="20"/>
          <w:szCs w:val="20"/>
          <w:lang w:val="en-US"/>
        </w:rPr>
        <w:t>, hence agreeing on a solution which exposes to such big risk seems very unwise. Conversely,</w:t>
      </w:r>
      <w:r w:rsidR="005A0F31">
        <w:rPr>
          <w:rFonts w:eastAsia="Times New Roman"/>
          <w:sz w:val="20"/>
          <w:szCs w:val="20"/>
          <w:lang w:val="en-US"/>
        </w:rPr>
        <w:t xml:space="preserve"> Alt3.4, </w:t>
      </w:r>
      <w:r w:rsidRPr="00217320">
        <w:rPr>
          <w:rFonts w:eastAsia="Times New Roman"/>
          <w:sz w:val="20"/>
          <w:szCs w:val="20"/>
          <w:lang w:val="en-US"/>
        </w:rPr>
        <w:t>which removes one degree of freedom</w:t>
      </w:r>
      <w:r w:rsidR="005A0F31">
        <w:rPr>
          <w:rFonts w:eastAsia="Times New Roman"/>
          <w:sz w:val="20"/>
          <w:szCs w:val="20"/>
          <w:lang w:val="en-US"/>
        </w:rPr>
        <w:t xml:space="preserve"> from the problem</w:t>
      </w:r>
      <w:r w:rsidRPr="00217320">
        <w:rPr>
          <w:rFonts w:eastAsia="Times New Roman"/>
          <w:sz w:val="20"/>
          <w:szCs w:val="20"/>
          <w:lang w:val="en-US"/>
        </w:rPr>
        <w:t xml:space="preserve"> (</w:t>
      </w:r>
      <w:r w:rsidR="005A0F31">
        <w:rPr>
          <w:rFonts w:eastAsia="Times New Roman"/>
          <w:sz w:val="20"/>
          <w:szCs w:val="20"/>
          <w:lang w:val="en-US"/>
        </w:rPr>
        <w:t xml:space="preserve">i.e., </w:t>
      </w:r>
      <w:r w:rsidRPr="00217320">
        <w:rPr>
          <w:rFonts w:eastAsia="Times New Roman"/>
          <w:sz w:val="20"/>
          <w:szCs w:val="20"/>
          <w:lang w:val="en-US"/>
        </w:rPr>
        <w:t>the FD component of the SC is fixed) and requires only 2 or 3 bits to be decoded correctly in order to have a valid SCI</w:t>
      </w:r>
      <w:r w:rsidR="005A0F31">
        <w:rPr>
          <w:rFonts w:eastAsia="Times New Roman"/>
          <w:sz w:val="20"/>
          <w:szCs w:val="20"/>
          <w:lang w:val="en-US"/>
        </w:rPr>
        <w:t>,</w:t>
      </w:r>
      <w:r w:rsidRPr="00217320">
        <w:rPr>
          <w:rFonts w:eastAsia="Times New Roman"/>
          <w:sz w:val="20"/>
          <w:szCs w:val="20"/>
          <w:lang w:val="en-US"/>
        </w:rPr>
        <w:t xml:space="preserve"> seems a</w:t>
      </w:r>
      <w:r w:rsidR="005A0F31">
        <w:rPr>
          <w:rFonts w:eastAsia="Times New Roman"/>
          <w:sz w:val="20"/>
          <w:szCs w:val="20"/>
          <w:lang w:val="en-US"/>
        </w:rPr>
        <w:t xml:space="preserve"> more robust and wise</w:t>
      </w:r>
      <w:r w:rsidRPr="00217320">
        <w:rPr>
          <w:rFonts w:eastAsia="Times New Roman"/>
          <w:sz w:val="20"/>
          <w:szCs w:val="20"/>
          <w:lang w:val="en-US"/>
        </w:rPr>
        <w:t xml:space="preserve"> choice.</w:t>
      </w:r>
    </w:p>
    <w:p w14:paraId="71EEBB9A" w14:textId="77777777" w:rsidR="005A0F31" w:rsidRDefault="00D44418" w:rsidP="005A0F31">
      <w:pPr>
        <w:pStyle w:val="ListParagraph"/>
        <w:numPr>
          <w:ilvl w:val="0"/>
          <w:numId w:val="8"/>
        </w:numPr>
        <w:contextualSpacing w:val="0"/>
        <w:rPr>
          <w:rFonts w:eastAsia="Times New Roman"/>
          <w:sz w:val="20"/>
          <w:szCs w:val="20"/>
          <w:lang w:val="en-US"/>
        </w:rPr>
      </w:pPr>
      <w:r w:rsidRPr="005A0F31">
        <w:rPr>
          <w:rFonts w:eastAsia="Times New Roman"/>
          <w:sz w:val="20"/>
          <w:szCs w:val="20"/>
          <w:lang w:val="en-US"/>
        </w:rPr>
        <w:t xml:space="preserve">The </w:t>
      </w:r>
      <w:r w:rsidR="005A0F31" w:rsidRPr="005A0F31">
        <w:rPr>
          <w:rFonts w:eastAsia="Times New Roman"/>
          <w:sz w:val="20"/>
          <w:szCs w:val="20"/>
          <w:lang w:val="en-US"/>
        </w:rPr>
        <w:t xml:space="preserve">complexity of Alt3.4 and Alt3.3 is very similar. In fact, </w:t>
      </w:r>
      <w:r w:rsidR="005A0F31">
        <w:rPr>
          <w:rFonts w:eastAsia="Times New Roman"/>
          <w:sz w:val="20"/>
          <w:szCs w:val="20"/>
          <w:lang w:val="en-US"/>
        </w:rPr>
        <w:t>i</w:t>
      </w:r>
      <w:r w:rsidR="005A0F31" w:rsidRPr="005A0F31">
        <w:rPr>
          <w:rFonts w:eastAsia="Times New Roman"/>
          <w:sz w:val="20"/>
          <w:szCs w:val="20"/>
          <w:lang w:val="en-US"/>
        </w:rPr>
        <w:t>n terms of cost, if we carefully look at the necessary operations to support Alt3.3 and Alt3.4</w:t>
      </w:r>
      <w:r w:rsidR="005A0F31">
        <w:rPr>
          <w:rFonts w:eastAsia="Times New Roman"/>
          <w:sz w:val="20"/>
          <w:szCs w:val="20"/>
          <w:lang w:val="en-US"/>
        </w:rPr>
        <w:t xml:space="preserve">, </w:t>
      </w:r>
      <w:r w:rsidR="005A0F31" w:rsidRPr="005A0F31">
        <w:rPr>
          <w:rFonts w:eastAsia="Times New Roman"/>
          <w:sz w:val="20"/>
          <w:szCs w:val="20"/>
          <w:lang w:val="en-US"/>
        </w:rPr>
        <w:t xml:space="preserve">the cost of “counting the 1s” for Alt3.3 is </w:t>
      </w:r>
      <m:oMath>
        <m:nary>
          <m:naryPr>
            <m:chr m:val="∑"/>
            <m:limLoc m:val="undOvr"/>
            <m:ctrlPr>
              <w:rPr>
                <w:rFonts w:ascii="Cambria Math" w:eastAsia="Times New Roman" w:hAnsi="Cambria Math"/>
                <w:sz w:val="20"/>
                <w:szCs w:val="20"/>
                <w:lang w:val="en-US"/>
              </w:rPr>
            </m:ctrlPr>
          </m:naryPr>
          <m:sub>
            <m:r>
              <w:rPr>
                <w:rFonts w:ascii="Cambria Math" w:eastAsia="Times New Roman" w:hAnsi="Cambria Math"/>
                <w:sz w:val="20"/>
                <w:szCs w:val="20"/>
                <w:lang w:val="en-US"/>
              </w:rPr>
              <m:t>i</m:t>
            </m:r>
            <m:r>
              <m:rPr>
                <m:sty m:val="p"/>
              </m:rPr>
              <w:rPr>
                <w:rFonts w:ascii="Cambria Math" w:eastAsia="Times New Roman" w:hAnsi="Cambria Math"/>
                <w:sz w:val="20"/>
                <w:szCs w:val="20"/>
                <w:lang w:val="en-US"/>
              </w:rPr>
              <m:t>=0</m:t>
            </m:r>
          </m:sub>
          <m:sup>
            <m:r>
              <w:rPr>
                <w:rFonts w:ascii="Cambria Math" w:eastAsia="Times New Roman" w:hAnsi="Cambria Math"/>
                <w:sz w:val="20"/>
                <w:szCs w:val="20"/>
                <w:lang w:val="en-US"/>
              </w:rPr>
              <m:t>RI</m:t>
            </m:r>
            <m:r>
              <m:rPr>
                <m:sty m:val="p"/>
              </m:rPr>
              <w:rPr>
                <w:rFonts w:ascii="Cambria Math" w:eastAsia="Times New Roman" w:hAnsi="Cambria Math"/>
                <w:sz w:val="20"/>
                <w:szCs w:val="20"/>
                <w:lang w:val="en-US"/>
              </w:rPr>
              <m:t>-1</m:t>
            </m:r>
          </m:sup>
          <m:e>
            <m:sSub>
              <m:sSubPr>
                <m:ctrlPr>
                  <w:rPr>
                    <w:rFonts w:ascii="Cambria Math" w:eastAsia="Times New Roman" w:hAnsi="Cambria Math"/>
                    <w:sz w:val="20"/>
                    <w:szCs w:val="20"/>
                    <w:lang w:val="en-US"/>
                  </w:rPr>
                </m:ctrlPr>
              </m:sSubPr>
              <m:e>
                <m:r>
                  <w:rPr>
                    <w:rFonts w:ascii="Cambria Math" w:eastAsia="Times New Roman" w:hAnsi="Cambria Math"/>
                    <w:sz w:val="20"/>
                    <w:szCs w:val="20"/>
                    <w:lang w:val="en-US"/>
                  </w:rPr>
                  <m:t>K</m:t>
                </m:r>
              </m:e>
              <m:sub>
                <m:r>
                  <m:rPr>
                    <m:sty m:val="p"/>
                  </m:rPr>
                  <w:rPr>
                    <w:rFonts w:ascii="Cambria Math" w:eastAsia="Times New Roman" w:hAnsi="Cambria Math"/>
                    <w:sz w:val="20"/>
                    <w:szCs w:val="20"/>
                    <w:lang w:val="en-US"/>
                  </w:rPr>
                  <m:t>0</m:t>
                </m:r>
              </m:sub>
            </m:sSub>
          </m:e>
        </m:nary>
      </m:oMath>
      <w:r w:rsidR="005A0F31" w:rsidRPr="005A0F31">
        <w:rPr>
          <w:rFonts w:eastAsia="Times New Roman"/>
          <w:sz w:val="20"/>
          <w:szCs w:val="20"/>
          <w:lang w:val="en-US"/>
        </w:rPr>
        <w:t xml:space="preserve"> (w/ NNZC restriction) or </w:t>
      </w:r>
      <m:oMath>
        <m:r>
          <m:rPr>
            <m:sty m:val="p"/>
          </m:rPr>
          <w:rPr>
            <w:rFonts w:ascii="Cambria Math" w:eastAsia="Times New Roman" w:hAnsi="Cambria Math"/>
            <w:sz w:val="20"/>
            <w:szCs w:val="20"/>
            <w:lang w:val="en-US"/>
          </w:rPr>
          <m:t xml:space="preserve">2 </m:t>
        </m:r>
        <m:nary>
          <m:naryPr>
            <m:chr m:val="∑"/>
            <m:limLoc m:val="undOvr"/>
            <m:ctrlPr>
              <w:rPr>
                <w:rFonts w:ascii="Cambria Math" w:eastAsia="Times New Roman" w:hAnsi="Cambria Math"/>
                <w:sz w:val="20"/>
                <w:szCs w:val="20"/>
                <w:lang w:val="en-US"/>
              </w:rPr>
            </m:ctrlPr>
          </m:naryPr>
          <m:sub>
            <m:r>
              <w:rPr>
                <w:rFonts w:ascii="Cambria Math" w:eastAsia="Times New Roman" w:hAnsi="Cambria Math"/>
                <w:sz w:val="20"/>
                <w:szCs w:val="20"/>
                <w:lang w:val="en-US"/>
              </w:rPr>
              <m:t>i</m:t>
            </m:r>
            <m:r>
              <m:rPr>
                <m:sty m:val="p"/>
              </m:rPr>
              <w:rPr>
                <w:rFonts w:ascii="Cambria Math" w:eastAsia="Times New Roman" w:hAnsi="Cambria Math"/>
                <w:sz w:val="20"/>
                <w:szCs w:val="20"/>
                <w:lang w:val="en-US"/>
              </w:rPr>
              <m:t>=0</m:t>
            </m:r>
          </m:sub>
          <m:sup>
            <m:r>
              <w:rPr>
                <w:rFonts w:ascii="Cambria Math" w:eastAsia="Times New Roman" w:hAnsi="Cambria Math"/>
                <w:sz w:val="20"/>
                <w:szCs w:val="20"/>
                <w:lang w:val="en-US"/>
              </w:rPr>
              <m:t>RI</m:t>
            </m:r>
            <m:r>
              <m:rPr>
                <m:sty m:val="p"/>
              </m:rPr>
              <w:rPr>
                <w:rFonts w:ascii="Cambria Math" w:eastAsia="Times New Roman" w:hAnsi="Cambria Math"/>
                <w:sz w:val="20"/>
                <w:szCs w:val="20"/>
                <w:lang w:val="en-US"/>
              </w:rPr>
              <m:t>-1</m:t>
            </m:r>
          </m:sup>
          <m:e>
            <m:sSub>
              <m:sSubPr>
                <m:ctrlPr>
                  <w:rPr>
                    <w:rFonts w:ascii="Cambria Math" w:eastAsia="Times New Roman" w:hAnsi="Cambria Math"/>
                    <w:sz w:val="20"/>
                    <w:szCs w:val="20"/>
                    <w:lang w:val="en-US"/>
                  </w:rPr>
                </m:ctrlPr>
              </m:sSubPr>
              <m:e>
                <m:r>
                  <w:rPr>
                    <w:rFonts w:ascii="Cambria Math" w:eastAsia="Times New Roman" w:hAnsi="Cambria Math"/>
                    <w:sz w:val="20"/>
                    <w:szCs w:val="20"/>
                    <w:lang w:val="en-US"/>
                  </w:rPr>
                  <m:t>K</m:t>
                </m:r>
              </m:e>
              <m:sub>
                <m:r>
                  <m:rPr>
                    <m:sty m:val="p"/>
                  </m:rPr>
                  <w:rPr>
                    <w:rFonts w:ascii="Cambria Math" w:eastAsia="Times New Roman" w:hAnsi="Cambria Math"/>
                    <w:sz w:val="20"/>
                    <w:szCs w:val="20"/>
                    <w:lang w:val="en-US"/>
                  </w:rPr>
                  <m:t>0</m:t>
                </m:r>
              </m:sub>
            </m:sSub>
          </m:e>
        </m:nary>
      </m:oMath>
      <w:r w:rsidR="005A0F31" w:rsidRPr="005A0F31">
        <w:rPr>
          <w:rFonts w:eastAsia="Times New Roman"/>
          <w:sz w:val="20"/>
          <w:szCs w:val="20"/>
          <w:lang w:val="en-US"/>
        </w:rPr>
        <w:t xml:space="preserve"> integer additions, whereas the cost of the modulo operation for the FD components for Alt3.4 is </w:t>
      </w:r>
      <m:oMath>
        <m:r>
          <m:rPr>
            <m:sty m:val="p"/>
          </m:rPr>
          <w:rPr>
            <w:rFonts w:ascii="Cambria Math" w:eastAsia="Times New Roman" w:hAnsi="Cambria Math"/>
            <w:sz w:val="20"/>
            <w:szCs w:val="20"/>
            <w:lang w:val="en-US"/>
          </w:rPr>
          <m:t>2</m:t>
        </m:r>
        <m:sSub>
          <m:sSubPr>
            <m:ctrlPr>
              <w:rPr>
                <w:rFonts w:ascii="Cambria Math" w:eastAsia="Times New Roman" w:hAnsi="Cambria Math"/>
                <w:sz w:val="20"/>
                <w:szCs w:val="20"/>
                <w:lang w:val="en-US"/>
              </w:rPr>
            </m:ctrlPr>
          </m:sSubPr>
          <m:e>
            <m:nary>
              <m:naryPr>
                <m:chr m:val="∑"/>
                <m:limLoc m:val="undOvr"/>
                <m:ctrlPr>
                  <w:rPr>
                    <w:rFonts w:ascii="Cambria Math" w:eastAsia="Times New Roman" w:hAnsi="Cambria Math"/>
                    <w:sz w:val="20"/>
                    <w:szCs w:val="20"/>
                    <w:lang w:val="en-US"/>
                  </w:rPr>
                </m:ctrlPr>
              </m:naryPr>
              <m:sub>
                <m:r>
                  <w:rPr>
                    <w:rFonts w:ascii="Cambria Math" w:eastAsia="Times New Roman" w:hAnsi="Cambria Math"/>
                    <w:sz w:val="20"/>
                    <w:szCs w:val="20"/>
                    <w:lang w:val="en-US"/>
                  </w:rPr>
                  <m:t>i</m:t>
                </m:r>
                <m:r>
                  <m:rPr>
                    <m:sty m:val="p"/>
                  </m:rPr>
                  <w:rPr>
                    <w:rFonts w:ascii="Cambria Math" w:eastAsia="Times New Roman" w:hAnsi="Cambria Math"/>
                    <w:sz w:val="20"/>
                    <w:szCs w:val="20"/>
                    <w:lang w:val="en-US"/>
                  </w:rPr>
                  <m:t>=0</m:t>
                </m:r>
              </m:sub>
              <m:sup>
                <m:r>
                  <w:rPr>
                    <w:rFonts w:ascii="Cambria Math" w:eastAsia="Times New Roman" w:hAnsi="Cambria Math"/>
                    <w:sz w:val="20"/>
                    <w:szCs w:val="20"/>
                    <w:lang w:val="en-US"/>
                  </w:rPr>
                  <m:t>RI</m:t>
                </m:r>
                <m:r>
                  <m:rPr>
                    <m:sty m:val="p"/>
                  </m:rPr>
                  <w:rPr>
                    <w:rFonts w:ascii="Cambria Math" w:eastAsia="Times New Roman" w:hAnsi="Cambria Math"/>
                    <w:sz w:val="20"/>
                    <w:szCs w:val="20"/>
                    <w:lang w:val="en-US"/>
                  </w:rPr>
                  <m:t>-1</m:t>
                </m:r>
              </m:sup>
              <m:e>
                <m:r>
                  <w:rPr>
                    <w:rFonts w:ascii="Cambria Math" w:eastAsia="Times New Roman" w:hAnsi="Cambria Math"/>
                    <w:sz w:val="20"/>
                    <w:szCs w:val="20"/>
                    <w:lang w:val="en-US"/>
                  </w:rPr>
                  <m:t>M</m:t>
                </m:r>
              </m:e>
            </m:nary>
          </m:e>
          <m:sub>
            <m:r>
              <w:rPr>
                <w:rFonts w:ascii="Cambria Math" w:eastAsia="Times New Roman" w:hAnsi="Cambria Math"/>
                <w:sz w:val="20"/>
                <w:szCs w:val="20"/>
                <w:lang w:val="en-US"/>
              </w:rPr>
              <m:t>i</m:t>
            </m:r>
          </m:sub>
        </m:sSub>
      </m:oMath>
      <w:r w:rsidR="005A0F31" w:rsidRPr="005A0F31">
        <w:rPr>
          <w:rFonts w:eastAsia="Times New Roman"/>
          <w:sz w:val="20"/>
          <w:szCs w:val="20"/>
          <w:lang w:val="en-US"/>
        </w:rPr>
        <w:t xml:space="preserve"> integer additions, where </w:t>
      </w:r>
      <m:oMath>
        <m:sSub>
          <m:sSubPr>
            <m:ctrlPr>
              <w:rPr>
                <w:rFonts w:ascii="Cambria Math" w:eastAsia="Times New Roman" w:hAnsi="Cambria Math"/>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i</m:t>
            </m:r>
          </m:sub>
        </m:sSub>
        <m:r>
          <m:rPr>
            <m:sty m:val="p"/>
          </m:rPr>
          <w:rPr>
            <w:rFonts w:ascii="Cambria Math" w:eastAsia="Times New Roman" w:hAnsi="Cambria Math"/>
            <w:sz w:val="20"/>
            <w:szCs w:val="20"/>
            <w:lang w:val="en-US"/>
          </w:rPr>
          <m:t xml:space="preserve"> </m:t>
        </m:r>
      </m:oMath>
      <w:r w:rsidR="005A0F31" w:rsidRPr="005A0F31">
        <w:rPr>
          <w:rFonts w:eastAsia="Times New Roman"/>
          <w:sz w:val="20"/>
          <w:szCs w:val="20"/>
          <w:lang w:val="en-US"/>
        </w:rPr>
        <w:t xml:space="preserve">decreases as RI increases (differently from </w:t>
      </w:r>
      <m:oMath>
        <m:sSub>
          <m:sSubPr>
            <m:ctrlPr>
              <w:rPr>
                <w:rFonts w:ascii="Cambria Math" w:eastAsia="Times New Roman" w:hAnsi="Cambria Math"/>
                <w:sz w:val="20"/>
                <w:szCs w:val="20"/>
                <w:lang w:val="en-US"/>
              </w:rPr>
            </m:ctrlPr>
          </m:sSubPr>
          <m:e>
            <m:r>
              <w:rPr>
                <w:rFonts w:ascii="Cambria Math" w:eastAsia="Times New Roman" w:hAnsi="Cambria Math"/>
                <w:sz w:val="20"/>
                <w:szCs w:val="20"/>
                <w:lang w:val="en-US"/>
              </w:rPr>
              <m:t>K</m:t>
            </m:r>
          </m:e>
          <m:sub>
            <m:r>
              <m:rPr>
                <m:sty m:val="p"/>
              </m:rPr>
              <w:rPr>
                <w:rFonts w:ascii="Cambria Math" w:eastAsia="Times New Roman" w:hAnsi="Cambria Math"/>
                <w:sz w:val="20"/>
                <w:szCs w:val="20"/>
                <w:lang w:val="en-US"/>
              </w:rPr>
              <m:t>0</m:t>
            </m:r>
          </m:sub>
        </m:sSub>
      </m:oMath>
      <w:r w:rsidR="005A0F31" w:rsidRPr="005A0F31">
        <w:rPr>
          <w:rFonts w:eastAsia="Times New Roman"/>
          <w:sz w:val="20"/>
          <w:szCs w:val="20"/>
          <w:lang w:val="en-US"/>
        </w:rPr>
        <w:t xml:space="preserve"> which is a constant, and typically larger, value than </w:t>
      </w:r>
      <m:oMath>
        <m:sSub>
          <m:sSubPr>
            <m:ctrlPr>
              <w:rPr>
                <w:rFonts w:ascii="Cambria Math" w:eastAsia="Times New Roman" w:hAnsi="Cambria Math"/>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i</m:t>
            </m:r>
          </m:sub>
        </m:sSub>
      </m:oMath>
      <w:r w:rsidR="005A0F31" w:rsidRPr="005A0F31">
        <w:rPr>
          <w:rFonts w:eastAsia="Times New Roman"/>
          <w:sz w:val="20"/>
          <w:szCs w:val="20"/>
          <w:lang w:val="en-US"/>
        </w:rPr>
        <w:t xml:space="preserve">). Finally, the mapping of NZC </w:t>
      </w:r>
      <w:r w:rsidR="005A0F31">
        <w:rPr>
          <w:rFonts w:eastAsia="Times New Roman"/>
          <w:sz w:val="20"/>
          <w:szCs w:val="20"/>
          <w:lang w:val="en-US"/>
        </w:rPr>
        <w:t xml:space="preserve">to UCI fields </w:t>
      </w:r>
      <w:r w:rsidR="005A0F31" w:rsidRPr="005A0F31">
        <w:rPr>
          <w:rFonts w:eastAsia="Times New Roman"/>
          <w:sz w:val="20"/>
          <w:szCs w:val="20"/>
          <w:lang w:val="en-US"/>
        </w:rPr>
        <w:t xml:space="preserve">has the same cost for both options, </w:t>
      </w:r>
      <w:r w:rsidR="005A0F31">
        <w:rPr>
          <w:rFonts w:eastAsia="Times New Roman"/>
          <w:sz w:val="20"/>
          <w:szCs w:val="20"/>
          <w:lang w:val="en-US"/>
        </w:rPr>
        <w:t>since it is a</w:t>
      </w:r>
      <w:r w:rsidR="005A0F31" w:rsidRPr="005A0F31">
        <w:rPr>
          <w:rFonts w:eastAsia="Times New Roman"/>
          <w:sz w:val="20"/>
          <w:szCs w:val="20"/>
          <w:lang w:val="en-US"/>
        </w:rPr>
        <w:t xml:space="preserve"> sequential reading from a table, with the difference that in Alt3.4 the reading starts from column </w:t>
      </w:r>
      <m:oMath>
        <m:sSup>
          <m:sSupPr>
            <m:ctrlPr>
              <w:rPr>
                <w:rFonts w:ascii="Cambria Math" w:eastAsia="Times New Roman" w:hAnsi="Cambria Math"/>
                <w:sz w:val="20"/>
                <w:szCs w:val="20"/>
                <w:lang w:val="en-US"/>
              </w:rPr>
            </m:ctrlPr>
          </m:sSupPr>
          <m:e>
            <m:r>
              <w:rPr>
                <w:rFonts w:ascii="Cambria Math" w:eastAsia="Times New Roman" w:hAnsi="Cambria Math"/>
                <w:sz w:val="20"/>
                <w:szCs w:val="20"/>
                <w:lang w:val="en-US"/>
              </w:rPr>
              <m:t>m</m:t>
            </m:r>
          </m:e>
          <m:sup>
            <m:r>
              <m:rPr>
                <m:sty m:val="p"/>
              </m:rPr>
              <w:rPr>
                <w:rFonts w:ascii="Cambria Math" w:eastAsia="Times New Roman" w:hAnsi="Cambria Math"/>
                <w:sz w:val="20"/>
                <w:szCs w:val="20"/>
                <w:lang w:val="en-US"/>
              </w:rPr>
              <m:t>*</m:t>
            </m:r>
          </m:sup>
        </m:sSup>
      </m:oMath>
      <w:r w:rsidR="005A0F31">
        <w:rPr>
          <w:rFonts w:eastAsia="Times New Roman"/>
          <w:sz w:val="20"/>
          <w:szCs w:val="20"/>
          <w:lang w:val="en-US"/>
        </w:rPr>
        <w:t>, i.e., the FD component where the SC is located</w:t>
      </w:r>
      <w:r w:rsidR="005A0F31" w:rsidRPr="005A0F31">
        <w:rPr>
          <w:rFonts w:eastAsia="Times New Roman"/>
          <w:sz w:val="20"/>
          <w:szCs w:val="20"/>
          <w:lang w:val="en-US"/>
        </w:rPr>
        <w:t>.</w:t>
      </w:r>
    </w:p>
    <w:p w14:paraId="23CC9FFE" w14:textId="77777777" w:rsidR="005A0F31" w:rsidRDefault="005A0F31" w:rsidP="005A0F31">
      <w:pPr>
        <w:rPr>
          <w:rFonts w:eastAsia="Times New Roman"/>
          <w:lang w:val="en-US"/>
        </w:rPr>
      </w:pPr>
    </w:p>
    <w:p w14:paraId="12901AB4" w14:textId="32D90B13" w:rsidR="005A0F31" w:rsidRDefault="005A0F31" w:rsidP="005A0F31">
      <w:pPr>
        <w:rPr>
          <w:b/>
          <w:i/>
        </w:rPr>
      </w:pPr>
      <w:r w:rsidRPr="005A04FB">
        <w:rPr>
          <w:b/>
          <w:i/>
        </w:rPr>
        <w:t xml:space="preserve">Observation </w:t>
      </w:r>
      <w:r>
        <w:rPr>
          <w:b/>
          <w:i/>
        </w:rPr>
        <w:t>3</w:t>
      </w:r>
      <w:r w:rsidRPr="005A04FB">
        <w:rPr>
          <w:b/>
          <w:i/>
        </w:rPr>
        <w:t xml:space="preserve">. </w:t>
      </w:r>
      <w:r>
        <w:rPr>
          <w:b/>
          <w:i/>
        </w:rPr>
        <w:t>Alt3.4 offers advantages over Alt3.3 in terms of possible design of flexible and unambiguous UCI omission rules, with no need for additional signalling.</w:t>
      </w:r>
    </w:p>
    <w:p w14:paraId="49CA3FDA" w14:textId="2BAEDCD2" w:rsidR="005A0F31" w:rsidRDefault="005A0F31" w:rsidP="005A0F31">
      <w:pPr>
        <w:rPr>
          <w:b/>
          <w:i/>
        </w:rPr>
      </w:pPr>
      <w:r w:rsidRPr="005A04FB">
        <w:rPr>
          <w:b/>
          <w:i/>
        </w:rPr>
        <w:t xml:space="preserve">Observation </w:t>
      </w:r>
      <w:r>
        <w:rPr>
          <w:b/>
          <w:i/>
        </w:rPr>
        <w:t>4</w:t>
      </w:r>
      <w:r w:rsidRPr="005A04FB">
        <w:rPr>
          <w:b/>
          <w:i/>
        </w:rPr>
        <w:t xml:space="preserve">. </w:t>
      </w:r>
      <w:r>
        <w:rPr>
          <w:b/>
          <w:i/>
        </w:rPr>
        <w:t xml:space="preserve">Alt3.4 offers advantages over Alt3.3 in terms of robustness to decoding errors of the SCI. </w:t>
      </w:r>
    </w:p>
    <w:p w14:paraId="0C79E178" w14:textId="72B06AC6" w:rsidR="00BE214C" w:rsidRDefault="005A0F31" w:rsidP="005A0F31">
      <w:pPr>
        <w:rPr>
          <w:b/>
          <w:i/>
        </w:rPr>
      </w:pPr>
      <w:r w:rsidRPr="005A04FB">
        <w:rPr>
          <w:b/>
          <w:i/>
        </w:rPr>
        <w:t xml:space="preserve">Observation </w:t>
      </w:r>
      <w:r>
        <w:rPr>
          <w:b/>
          <w:i/>
        </w:rPr>
        <w:t>5</w:t>
      </w:r>
      <w:r w:rsidRPr="005A04FB">
        <w:rPr>
          <w:b/>
          <w:i/>
        </w:rPr>
        <w:t xml:space="preserve">. </w:t>
      </w:r>
      <w:r>
        <w:rPr>
          <w:b/>
          <w:i/>
        </w:rPr>
        <w:t xml:space="preserve">The complexity of Alt3.4 and Alt3.3 is very similar. </w:t>
      </w:r>
    </w:p>
    <w:p w14:paraId="7A019E4B" w14:textId="5803EA61" w:rsidR="00BE214C" w:rsidRDefault="00BE214C" w:rsidP="00BE214C">
      <w:r w:rsidRPr="00BE214C">
        <w:t>Finally, it is worth mentioning that</w:t>
      </w:r>
      <w:r>
        <w:t xml:space="preserve"> both Alt3.4 and Alt3.3 require a simple spec description to be supported, hence this aspect should not be considered a crucial factor upon which the decision should be based. We corroborate this statement by providing two text examples, which make use of the notation typically used so far to referred to the mentioned quantities and variables:</w:t>
      </w:r>
    </w:p>
    <w:p w14:paraId="7DC0849D" w14:textId="77777777" w:rsidR="00BE214C" w:rsidRPr="00BE214C" w:rsidRDefault="00D44418" w:rsidP="00BE214C">
      <w:pPr>
        <w:pStyle w:val="ListParagraph"/>
        <w:numPr>
          <w:ilvl w:val="0"/>
          <w:numId w:val="16"/>
        </w:numPr>
        <w:rPr>
          <w:sz w:val="20"/>
          <w:szCs w:val="20"/>
        </w:rPr>
      </w:pPr>
      <w:r w:rsidRPr="00BE214C">
        <w:rPr>
          <w:rFonts w:eastAsia="Times New Roman"/>
          <w:i/>
          <w:iCs/>
          <w:sz w:val="20"/>
          <w:szCs w:val="20"/>
          <w:u w:val="single"/>
        </w:rPr>
        <w:t>Alt3.3</w:t>
      </w:r>
      <w:r w:rsidRPr="00BE214C">
        <w:rPr>
          <w:rFonts w:eastAsia="Times New Roman"/>
          <w:sz w:val="20"/>
          <w:szCs w:val="20"/>
        </w:rPr>
        <w:t>: a UE reports the indices:</w:t>
      </w:r>
      <m:oMath>
        <m:sSubSup>
          <m:sSubSupPr>
            <m:ctrlPr>
              <w:rPr>
                <w:rFonts w:ascii="Cambria Math" w:eastAsiaTheme="minorHAnsi" w:hAnsi="Cambria Math" w:cs="Calibri"/>
                <w:i/>
                <w:iCs/>
                <w:sz w:val="20"/>
                <w:szCs w:val="20"/>
              </w:rPr>
            </m:ctrlPr>
          </m:sSubSupPr>
          <m:e>
            <m:d>
              <m:dPr>
                <m:begChr m:val="{"/>
                <m:endChr m:val="}"/>
                <m:ctrlPr>
                  <w:rPr>
                    <w:rFonts w:ascii="Cambria Math" w:eastAsiaTheme="minorHAnsi" w:hAnsi="Cambria Math" w:cs="Calibri"/>
                    <w:i/>
                    <w:iCs/>
                    <w:sz w:val="20"/>
                    <w:szCs w:val="20"/>
                  </w:rPr>
                </m:ctrlPr>
              </m:dPr>
              <m:e>
                <m:sSub>
                  <m:sSubPr>
                    <m:ctrlPr>
                      <w:rPr>
                        <w:rFonts w:ascii="Cambria Math" w:eastAsiaTheme="minorHAnsi" w:hAnsi="Cambria Math" w:cs="Calibri"/>
                        <w:i/>
                        <w:iCs/>
                        <w:sz w:val="20"/>
                        <w:szCs w:val="20"/>
                      </w:rPr>
                    </m:ctrlPr>
                  </m:sSubPr>
                  <m:e>
                    <m:r>
                      <w:rPr>
                        <w:rFonts w:ascii="Cambria Math" w:eastAsia="Times New Roman" w:hAnsi="Cambria Math"/>
                        <w:sz w:val="20"/>
                        <w:szCs w:val="20"/>
                      </w:rPr>
                      <m:t>k</m:t>
                    </m:r>
                  </m:e>
                  <m:sub>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sub>
                </m:sSub>
              </m:e>
            </m:d>
          </m:e>
          <m:sub>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=0</m:t>
            </m:r>
          </m:sub>
          <m:sup>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up>
        </m:sSubSup>
      </m:oMath>
      <w:r w:rsidRPr="00BE214C">
        <w:rPr>
          <w:rFonts w:eastAsia="Times New Roman"/>
          <w:sz w:val="20"/>
          <w:szCs w:val="20"/>
        </w:rPr>
        <w:t xml:space="preserve"> in the FD basis indicator and the quantized LC coefficients according to a certain order, for example row-wise: </w:t>
      </w:r>
      <m:oMath>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0,0</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0,1</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0,</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1,0</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1,1</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2L-1,</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ub>
        </m:sSub>
      </m:oMath>
      <w:r w:rsidRPr="00BE214C">
        <w:rPr>
          <w:rFonts w:eastAsia="Times New Roman"/>
          <w:sz w:val="20"/>
          <w:szCs w:val="20"/>
        </w:rPr>
        <w:t xml:space="preserve"> (</w:t>
      </w:r>
      <m:oMath>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sub>
        </m:sSub>
      </m:oMath>
      <w:r w:rsidRPr="00BE214C">
        <w:rPr>
          <w:rFonts w:eastAsia="Times New Roman"/>
          <w:sz w:val="20"/>
          <w:szCs w:val="20"/>
        </w:rPr>
        <w:t xml:space="preserve"> and zero coefficients are omitted). The SCI is reported by “counting the 1’s” in the bitmap, which </w:t>
      </w:r>
      <w:r w:rsidRPr="00BE214C">
        <w:rPr>
          <w:rFonts w:eastAsia="Times New Roman"/>
          <w:sz w:val="20"/>
          <w:szCs w:val="20"/>
        </w:rPr>
        <w:lastRenderedPageBreak/>
        <w:t xml:space="preserve">requires </w:t>
      </w:r>
      <m:oMath>
        <m:d>
          <m:dPr>
            <m:begChr m:val="⌈"/>
            <m:endChr m:val="⌉"/>
            <m:ctrlPr>
              <w:rPr>
                <w:rFonts w:ascii="Cambria Math" w:eastAsiaTheme="minorHAnsi" w:hAnsi="Cambria Math" w:cs="Calibri"/>
                <w:i/>
                <w:iCs/>
                <w:sz w:val="20"/>
                <w:szCs w:val="20"/>
              </w:rPr>
            </m:ctrlPr>
          </m:dPr>
          <m:e>
            <m:func>
              <m:funcPr>
                <m:ctrlPr>
                  <w:rPr>
                    <w:rFonts w:ascii="Cambria Math" w:eastAsiaTheme="minorHAnsi" w:hAnsi="Cambria Math" w:cs="Calibri"/>
                    <w:i/>
                    <w:iCs/>
                    <w:sz w:val="20"/>
                    <w:szCs w:val="20"/>
                  </w:rPr>
                </m:ctrlPr>
              </m:funcPr>
              <m:fName>
                <m:sSub>
                  <m:sSubPr>
                    <m:ctrlPr>
                      <w:rPr>
                        <w:rFonts w:ascii="Cambria Math" w:eastAsiaTheme="minorHAnsi" w:hAnsi="Cambria Math" w:cs="Calibri"/>
                        <w:sz w:val="20"/>
                        <w:szCs w:val="20"/>
                      </w:rPr>
                    </m:ctrlPr>
                  </m:sSubPr>
                  <m:e>
                    <m:r>
                      <m:rPr>
                        <m:sty m:val="p"/>
                      </m:rPr>
                      <w:rPr>
                        <w:rFonts w:ascii="Cambria Math" w:eastAsia="Times New Roman" w:hAnsi="Cambria Math"/>
                        <w:sz w:val="20"/>
                        <w:szCs w:val="20"/>
                      </w:rPr>
                      <m:t>log</m:t>
                    </m:r>
                  </m:e>
                  <m:sub>
                    <m:r>
                      <m:rPr>
                        <m:sty m:val="p"/>
                      </m:rPr>
                      <w:rPr>
                        <w:rFonts w:ascii="Cambria Math" w:eastAsia="Times New Roman" w:hAnsi="Cambria Math"/>
                        <w:sz w:val="20"/>
                        <w:szCs w:val="20"/>
                      </w:rPr>
                      <m:t>2</m:t>
                    </m:r>
                  </m:sub>
                </m:sSub>
              </m:fName>
              <m:e>
                <m:r>
                  <w:rPr>
                    <w:rFonts w:ascii="Cambria Math" w:eastAsia="Times New Roman" w:hAnsi="Cambria Math"/>
                    <w:sz w:val="20"/>
                    <w:szCs w:val="20"/>
                  </w:rPr>
                  <m:t>2</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0</m:t>
                    </m:r>
                  </m:sub>
                </m:sSub>
              </m:e>
            </m:func>
          </m:e>
        </m:d>
      </m:oMath>
      <w:r w:rsidRPr="00BE214C">
        <w:rPr>
          <w:rFonts w:eastAsia="Times New Roman"/>
          <w:sz w:val="20"/>
          <w:szCs w:val="20"/>
        </w:rPr>
        <w:t xml:space="preserve"> or </w:t>
      </w:r>
      <m:oMath>
        <m:d>
          <m:dPr>
            <m:begChr m:val="⌈"/>
            <m:endChr m:val="⌉"/>
            <m:ctrlPr>
              <w:rPr>
                <w:rFonts w:ascii="Cambria Math" w:eastAsiaTheme="minorHAnsi" w:hAnsi="Cambria Math" w:cs="Calibri"/>
                <w:i/>
                <w:iCs/>
                <w:sz w:val="20"/>
                <w:szCs w:val="20"/>
              </w:rPr>
            </m:ctrlPr>
          </m:dPr>
          <m:e>
            <m:func>
              <m:funcPr>
                <m:ctrlPr>
                  <w:rPr>
                    <w:rFonts w:ascii="Cambria Math" w:eastAsiaTheme="minorHAnsi" w:hAnsi="Cambria Math" w:cs="Calibri"/>
                    <w:i/>
                    <w:iCs/>
                    <w:sz w:val="20"/>
                    <w:szCs w:val="20"/>
                  </w:rPr>
                </m:ctrlPr>
              </m:funcPr>
              <m:fName>
                <m:sSub>
                  <m:sSubPr>
                    <m:ctrlPr>
                      <w:rPr>
                        <w:rFonts w:ascii="Cambria Math" w:eastAsiaTheme="minorHAnsi" w:hAnsi="Cambria Math" w:cs="Calibri"/>
                        <w:sz w:val="20"/>
                        <w:szCs w:val="20"/>
                      </w:rPr>
                    </m:ctrlPr>
                  </m:sSubPr>
                  <m:e>
                    <m:r>
                      <m:rPr>
                        <m:sty m:val="p"/>
                      </m:rPr>
                      <w:rPr>
                        <w:rFonts w:ascii="Cambria Math" w:eastAsia="Times New Roman" w:hAnsi="Cambria Math"/>
                        <w:sz w:val="20"/>
                        <w:szCs w:val="20"/>
                      </w:rPr>
                      <m:t>log</m:t>
                    </m:r>
                  </m:e>
                  <m:sub>
                    <m:r>
                      <m:rPr>
                        <m:sty m:val="p"/>
                      </m:rPr>
                      <w:rPr>
                        <w:rFonts w:ascii="Cambria Math" w:eastAsia="Times New Roman" w:hAnsi="Cambria Math"/>
                        <w:sz w:val="20"/>
                        <w:szCs w:val="20"/>
                      </w:rPr>
                      <m:t>2</m:t>
                    </m:r>
                  </m:sub>
                </m:sSub>
              </m:fName>
              <m:e>
                <m:sSub>
                  <m:sSubPr>
                    <m:ctrlPr>
                      <w:rPr>
                        <w:rFonts w:ascii="Cambria Math" w:eastAsiaTheme="minorHAnsi" w:hAnsi="Cambria Math" w:cs="Calibri"/>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0</m:t>
                    </m:r>
                  </m:sub>
                </m:sSub>
              </m:e>
            </m:func>
          </m:e>
        </m:d>
      </m:oMath>
      <w:r w:rsidRPr="00BE214C">
        <w:rPr>
          <w:rFonts w:eastAsia="Times New Roman"/>
          <w:sz w:val="20"/>
          <w:szCs w:val="20"/>
        </w:rPr>
        <w:t xml:space="preserve"> bits, in case Alt0 and Alt1, respectively, is chosen for max NNZC parameter setting</w:t>
      </w:r>
    </w:p>
    <w:p w14:paraId="5976EFF6" w14:textId="7B621B5C" w:rsidR="00D44418" w:rsidRPr="00BE214C" w:rsidRDefault="00D44418" w:rsidP="00BE214C">
      <w:pPr>
        <w:pStyle w:val="ListParagraph"/>
        <w:numPr>
          <w:ilvl w:val="0"/>
          <w:numId w:val="16"/>
        </w:numPr>
        <w:rPr>
          <w:sz w:val="20"/>
          <w:szCs w:val="20"/>
        </w:rPr>
      </w:pPr>
      <w:r w:rsidRPr="00BE214C">
        <w:rPr>
          <w:rFonts w:eastAsia="Times New Roman"/>
          <w:i/>
          <w:iCs/>
          <w:sz w:val="20"/>
          <w:szCs w:val="20"/>
          <w:u w:val="single"/>
        </w:rPr>
        <w:t>Alt3.4</w:t>
      </w:r>
      <w:r w:rsidRPr="00BE214C">
        <w:rPr>
          <w:rFonts w:eastAsia="Times New Roman"/>
          <w:sz w:val="20"/>
          <w:szCs w:val="20"/>
        </w:rPr>
        <w:t xml:space="preserve">: a UE reports the modulo-shifted indices: </w:t>
      </w:r>
      <m:oMath>
        <m:sSubSup>
          <m:sSubSupPr>
            <m:ctrlPr>
              <w:rPr>
                <w:rFonts w:ascii="Cambria Math" w:eastAsiaTheme="minorHAnsi" w:hAnsi="Cambria Math" w:cs="Calibri"/>
                <w:i/>
                <w:iCs/>
                <w:sz w:val="20"/>
                <w:szCs w:val="20"/>
              </w:rPr>
            </m:ctrlPr>
          </m:sSubSupPr>
          <m:e>
            <m:d>
              <m:dPr>
                <m:begChr m:val="{"/>
                <m:endChr m:val="}"/>
                <m:ctrlPr>
                  <w:rPr>
                    <w:rFonts w:ascii="Cambria Math" w:eastAsiaTheme="minorHAnsi" w:hAnsi="Cambria Math" w:cs="Calibri"/>
                    <w:i/>
                    <w:iCs/>
                    <w:sz w:val="20"/>
                    <w:szCs w:val="20"/>
                  </w:rPr>
                </m:ctrlPr>
              </m:dPr>
              <m:e>
                <m:sSub>
                  <m:sSubPr>
                    <m:ctrlPr>
                      <w:rPr>
                        <w:rFonts w:ascii="Cambria Math" w:eastAsiaTheme="minorHAnsi" w:hAnsi="Cambria Math" w:cs="Calibri"/>
                        <w:i/>
                        <w:iCs/>
                        <w:sz w:val="20"/>
                        <w:szCs w:val="20"/>
                      </w:rPr>
                    </m:ctrlPr>
                  </m:sSubPr>
                  <m:e>
                    <m:r>
                      <w:rPr>
                        <w:rFonts w:ascii="Cambria Math" w:eastAsia="Times New Roman" w:hAnsi="Cambria Math"/>
                        <w:sz w:val="20"/>
                        <w:szCs w:val="20"/>
                        <w:lang w:val="en-US"/>
                      </w:rPr>
                      <m:t>k'</m:t>
                    </m:r>
                  </m:e>
                  <m:sub>
                    <m:sSub>
                      <m:sSubPr>
                        <m:ctrlPr>
                          <w:rPr>
                            <w:rFonts w:ascii="Cambria Math" w:eastAsiaTheme="minorHAnsi" w:hAnsi="Cambria Math" w:cs="Calibri"/>
                            <w:i/>
                            <w:iCs/>
                            <w:sz w:val="20"/>
                            <w:szCs w:val="20"/>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sub>
                </m:sSub>
                <m:r>
                  <w:rPr>
                    <w:rFonts w:ascii="Cambria Math" w:eastAsia="Times New Roman" w:hAnsi="Cambria Math"/>
                    <w:sz w:val="20"/>
                    <w:szCs w:val="20"/>
                    <w:lang w:val="en-US"/>
                  </w:rPr>
                  <m:t>=</m:t>
                </m:r>
                <m:r>
                  <m:rPr>
                    <m:sty m:val="p"/>
                  </m:rPr>
                  <w:rPr>
                    <w:rFonts w:ascii="Cambria Math" w:eastAsia="Times New Roman" w:hAnsi="Cambria Math"/>
                    <w:sz w:val="20"/>
                    <w:szCs w:val="20"/>
                    <w:lang w:val="en-US"/>
                  </w:rPr>
                  <m:t>mod</m:t>
                </m:r>
                <m:d>
                  <m:dPr>
                    <m:begChr m:val="{"/>
                    <m:endChr m:val="}"/>
                    <m:ctrlPr>
                      <w:rPr>
                        <w:rFonts w:ascii="Cambria Math" w:eastAsiaTheme="minorHAnsi" w:hAnsi="Cambria Math" w:cs="Calibri"/>
                        <w:i/>
                        <w:iCs/>
                        <w:sz w:val="20"/>
                        <w:szCs w:val="20"/>
                      </w:rPr>
                    </m:ctrlPr>
                  </m:dPr>
                  <m:e>
                    <m:sSub>
                      <m:sSubPr>
                        <m:ctrlPr>
                          <w:rPr>
                            <w:rFonts w:ascii="Cambria Math" w:eastAsiaTheme="minorHAnsi" w:hAnsi="Cambria Math" w:cs="Calibri"/>
                            <w:i/>
                            <w:iCs/>
                            <w:sz w:val="20"/>
                            <w:szCs w:val="20"/>
                          </w:rPr>
                        </m:ctrlPr>
                      </m:sSubPr>
                      <m:e>
                        <m:r>
                          <w:rPr>
                            <w:rFonts w:ascii="Cambria Math" w:eastAsia="Times New Roman" w:hAnsi="Cambria Math"/>
                            <w:sz w:val="20"/>
                            <w:szCs w:val="20"/>
                            <w:lang w:val="en-US"/>
                          </w:rPr>
                          <m:t>k</m:t>
                        </m:r>
                      </m:e>
                      <m:sub>
                        <m:sSub>
                          <m:sSubPr>
                            <m:ctrlPr>
                              <w:rPr>
                                <w:rFonts w:ascii="Cambria Math" w:eastAsiaTheme="minorHAnsi" w:hAnsi="Cambria Math" w:cs="Calibri"/>
                                <w:i/>
                                <w:iCs/>
                                <w:sz w:val="20"/>
                                <w:szCs w:val="20"/>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sub>
                    </m:sSub>
                    <m:r>
                      <w:rPr>
                        <w:rFonts w:ascii="Cambria Math" w:eastAsia="Times New Roman" w:hAnsi="Cambria Math"/>
                        <w:sz w:val="20"/>
                        <w:szCs w:val="20"/>
                        <w:lang w:val="en-US"/>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lang w:val="en-US"/>
                          </w:rPr>
                          <m:t>k</m:t>
                        </m:r>
                      </m:e>
                      <m:sub>
                        <m:sSubSup>
                          <m:sSubSupPr>
                            <m:ctrlPr>
                              <w:rPr>
                                <w:rFonts w:ascii="Cambria Math" w:eastAsiaTheme="minorHAnsi" w:hAnsi="Cambria Math" w:cs="Calibri"/>
                                <w:i/>
                                <w:iCs/>
                                <w:sz w:val="20"/>
                                <w:szCs w:val="20"/>
                              </w:rPr>
                            </m:ctrlPr>
                          </m:sSubSup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up>
                            <m:r>
                              <w:rPr>
                                <w:rFonts w:ascii="Cambria Math" w:eastAsia="Times New Roman" w:hAnsi="Cambria Math"/>
                                <w:sz w:val="20"/>
                                <w:szCs w:val="20"/>
                                <w:lang w:val="en-US"/>
                              </w:rPr>
                              <m:t>*</m:t>
                            </m:r>
                          </m:sup>
                        </m:sSubSup>
                      </m:sub>
                    </m:sSub>
                    <m:r>
                      <w:rPr>
                        <w:rFonts w:ascii="Cambria Math" w:eastAsia="Times New Roman" w:hAnsi="Cambria Math"/>
                        <w:sz w:val="20"/>
                        <w:szCs w:val="20"/>
                        <w:lang w:val="en-US"/>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lang w:val="en-US"/>
                          </w:rPr>
                          <m:t>N</m:t>
                        </m:r>
                      </m:e>
                      <m:sub>
                        <m:r>
                          <w:rPr>
                            <w:rFonts w:ascii="Cambria Math" w:eastAsia="Times New Roman" w:hAnsi="Cambria Math"/>
                            <w:sz w:val="20"/>
                            <w:szCs w:val="20"/>
                            <w:lang w:val="en-US"/>
                          </w:rPr>
                          <m:t>3</m:t>
                        </m:r>
                      </m:sub>
                    </m:sSub>
                  </m:e>
                </m:d>
              </m:e>
            </m:d>
          </m:e>
          <m:sub>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=0</m:t>
            </m:r>
          </m:sub>
          <m:sup>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up>
        </m:sSubSup>
      </m:oMath>
      <w:r w:rsidRPr="00BE214C">
        <w:rPr>
          <w:rFonts w:eastAsia="Times New Roman"/>
          <w:sz w:val="20"/>
          <w:szCs w:val="20"/>
        </w:rPr>
        <w:t xml:space="preserve"> in the FD basis indicator, and reports the quantized LC coefficients in the order: </w:t>
      </w:r>
      <m:oMath>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0,</m:t>
            </m:r>
            <m:r>
              <m:rPr>
                <m:sty m:val="p"/>
              </m:rPr>
              <w:rPr>
                <w:rFonts w:ascii="Cambria Math" w:eastAsia="Times New Roman" w:hAnsi="Cambria Math"/>
                <w:sz w:val="20"/>
                <w:szCs w:val="20"/>
                <w:lang w:val="en-US"/>
              </w:rPr>
              <m:t>mod{</m:t>
            </m:r>
            <m:r>
              <w:rPr>
                <w:rFonts w:ascii="Cambria Math" w:eastAsia="Times New Roman" w:hAnsi="Cambria Math"/>
                <w:sz w:val="20"/>
                <w:szCs w:val="20"/>
              </w:rPr>
              <m:t>0+</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0,</m:t>
            </m:r>
            <m:r>
              <m:rPr>
                <m:sty m:val="p"/>
              </m:rPr>
              <w:rPr>
                <w:rFonts w:ascii="Cambria Math" w:eastAsia="Times New Roman" w:hAnsi="Cambria Math"/>
                <w:sz w:val="20"/>
                <w:szCs w:val="20"/>
                <w:lang w:val="en-US"/>
              </w:rPr>
              <m:t>mod{</m:t>
            </m:r>
            <m:r>
              <w:rPr>
                <w:rFonts w:ascii="Cambria Math" w:eastAsia="Times New Roman" w:hAnsi="Cambria Math"/>
                <w:sz w:val="20"/>
                <w:szCs w:val="20"/>
              </w:rPr>
              <m:t>1+</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0,</m:t>
            </m:r>
            <m:r>
              <m:rPr>
                <m:sty m:val="p"/>
              </m:rPr>
              <w:rPr>
                <w:rFonts w:ascii="Cambria Math" w:eastAsia="Times New Roman" w:hAnsi="Cambria Math"/>
                <w:sz w:val="20"/>
                <w:szCs w:val="20"/>
                <w:lang w:val="en-US"/>
              </w:rPr>
              <m:t>mod{</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m:t>
            </m:r>
            <m:r>
              <m:rPr>
                <m:sty m:val="p"/>
              </m:rPr>
              <w:rPr>
                <w:rFonts w:ascii="Cambria Math" w:eastAsia="Times New Roman" w:hAnsi="Cambria Math"/>
                <w:sz w:val="20"/>
                <w:szCs w:val="20"/>
                <w:lang w:val="en-US"/>
              </w:rPr>
              <m:t>mod{</m:t>
            </m:r>
            <m:r>
              <w:rPr>
                <w:rFonts w:ascii="Cambria Math" w:eastAsia="Times New Roman" w:hAnsi="Cambria Math"/>
                <w:sz w:val="20"/>
                <w:szCs w:val="20"/>
              </w:rPr>
              <m:t>0+</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m:t>
            </m:r>
            <m:r>
              <m:rPr>
                <m:sty m:val="p"/>
              </m:rPr>
              <w:rPr>
                <w:rFonts w:ascii="Cambria Math" w:eastAsia="Times New Roman" w:hAnsi="Cambria Math"/>
                <w:sz w:val="20"/>
                <w:szCs w:val="20"/>
                <w:lang w:val="en-US"/>
              </w:rPr>
              <m:t>mod{</m:t>
            </m:r>
            <m:r>
              <w:rPr>
                <w:rFonts w:ascii="Cambria Math" w:eastAsia="Times New Roman" w:hAnsi="Cambria Math"/>
                <w:sz w:val="20"/>
                <w:szCs w:val="20"/>
              </w:rPr>
              <m:t>1+</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m:t>
            </m:r>
          </m:sub>
        </m:sSub>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1,</m:t>
            </m:r>
            <m:r>
              <m:rPr>
                <m:sty m:val="p"/>
              </m:rPr>
              <w:rPr>
                <w:rFonts w:ascii="Cambria Math" w:eastAsia="Times New Roman" w:hAnsi="Cambria Math"/>
                <w:sz w:val="20"/>
                <w:szCs w:val="20"/>
                <w:lang w:val="en-US"/>
              </w:rPr>
              <m:t>mod{</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m:t>
            </m:r>
          </m:sub>
        </m:sSub>
        <m:r>
          <w:rPr>
            <w:rFonts w:ascii="Cambria Math" w:eastAsia="Times New Roman" w:hAnsi="Cambria Math"/>
            <w:sz w:val="20"/>
            <w:szCs w:val="20"/>
          </w:rPr>
          <m:t>,…</m:t>
        </m:r>
      </m:oMath>
      <w:r w:rsidRPr="00BE214C">
        <w:rPr>
          <w:rFonts w:eastAsia="Times New Roman"/>
          <w:sz w:val="20"/>
          <w:szCs w:val="20"/>
        </w:rPr>
        <w:t xml:space="preserve"> </w:t>
      </w:r>
      <m:oMath>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r>
              <w:rPr>
                <w:rFonts w:ascii="Cambria Math" w:eastAsia="Times New Roman" w:hAnsi="Cambria Math"/>
                <w:sz w:val="20"/>
                <w:szCs w:val="20"/>
              </w:rPr>
              <m:t>2L-1,</m:t>
            </m:r>
            <m:r>
              <m:rPr>
                <m:sty m:val="p"/>
              </m:rPr>
              <w:rPr>
                <w:rFonts w:ascii="Cambria Math" w:eastAsia="Times New Roman" w:hAnsi="Cambria Math"/>
                <w:sz w:val="20"/>
                <w:szCs w:val="20"/>
                <w:lang w:val="en-US"/>
              </w:rPr>
              <m:t>mod{</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-1+</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
              <m:sSubPr>
                <m:ctrlPr>
                  <w:rPr>
                    <w:rFonts w:ascii="Cambria Math" w:eastAsiaTheme="minorHAnsi" w:hAnsi="Cambria Math" w:cs="Calibri"/>
                    <w:i/>
                    <w:iCs/>
                    <w:sz w:val="20"/>
                    <w:szCs w:val="20"/>
                  </w:rPr>
                </m:ctrlPr>
              </m:sSubPr>
              <m:e>
                <m:r>
                  <w:rPr>
                    <w:rFonts w:ascii="Cambria Math" w:eastAsia="Times New Roman" w:hAnsi="Cambria Math"/>
                    <w:sz w:val="20"/>
                    <w:szCs w:val="20"/>
                  </w:rPr>
                  <m:t>M</m:t>
                </m:r>
              </m:e>
              <m:sub>
                <m:r>
                  <w:rPr>
                    <w:rFonts w:ascii="Cambria Math" w:eastAsia="Times New Roman" w:hAnsi="Cambria Math"/>
                    <w:sz w:val="20"/>
                    <w:szCs w:val="20"/>
                  </w:rPr>
                  <m:t>l</m:t>
                </m:r>
              </m:sub>
            </m:sSub>
            <m:r>
              <w:rPr>
                <w:rFonts w:ascii="Cambria Math" w:eastAsia="Times New Roman" w:hAnsi="Cambria Math"/>
                <w:sz w:val="20"/>
                <w:szCs w:val="20"/>
              </w:rPr>
              <m:t>}</m:t>
            </m:r>
          </m:sub>
        </m:sSub>
      </m:oMath>
      <w:r w:rsidRPr="00BE214C">
        <w:rPr>
          <w:rFonts w:eastAsia="Times New Roman"/>
          <w:sz w:val="20"/>
          <w:szCs w:val="20"/>
        </w:rPr>
        <w:t xml:space="preserve"> (</w:t>
      </w:r>
      <m:oMath>
        <m:sSub>
          <m:sSubPr>
            <m:ctrlPr>
              <w:rPr>
                <w:rFonts w:ascii="Cambria Math" w:eastAsiaTheme="minorHAnsi" w:hAnsi="Cambria Math" w:cs="Calibri"/>
                <w:i/>
                <w:iCs/>
                <w:sz w:val="20"/>
                <w:szCs w:val="20"/>
              </w:rPr>
            </m:ctrlPr>
          </m:sSubPr>
          <m:e>
            <m:r>
              <w:rPr>
                <w:rFonts w:ascii="Cambria Math" w:eastAsia="Times New Roman" w:hAnsi="Cambria Math"/>
                <w:sz w:val="20"/>
                <w:szCs w:val="20"/>
              </w:rPr>
              <m:t>c</m:t>
            </m:r>
          </m:e>
          <m:sub>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sub>
        </m:sSub>
      </m:oMath>
      <w:r w:rsidRPr="00BE214C">
        <w:rPr>
          <w:rFonts w:eastAsia="Times New Roman"/>
          <w:sz w:val="20"/>
          <w:szCs w:val="20"/>
        </w:rPr>
        <w:t xml:space="preserve"> and zero coefficients are omitted). The SCI is </w:t>
      </w:r>
      <m:oMath>
        <m:sSubSup>
          <m:sSubSupPr>
            <m:ctrlPr>
              <w:rPr>
                <w:rFonts w:ascii="Cambria Math" w:eastAsiaTheme="minorHAnsi" w:hAnsi="Cambria Math" w:cs="Calibri"/>
                <w:i/>
                <w:iCs/>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l</m:t>
            </m:r>
          </m:sub>
          <m:sup>
            <m:r>
              <w:rPr>
                <w:rFonts w:ascii="Cambria Math" w:eastAsia="Times New Roman" w:hAnsi="Cambria Math"/>
                <w:sz w:val="20"/>
                <w:szCs w:val="20"/>
              </w:rPr>
              <m:t>*</m:t>
            </m:r>
          </m:sup>
        </m:sSubSup>
      </m:oMath>
      <w:r w:rsidRPr="00BE214C">
        <w:rPr>
          <w:rFonts w:eastAsia="Times New Roman"/>
          <w:sz w:val="20"/>
          <w:szCs w:val="20"/>
        </w:rPr>
        <w:t xml:space="preserve">, which requires </w:t>
      </w:r>
      <m:oMath>
        <m:d>
          <m:dPr>
            <m:begChr m:val="⌈"/>
            <m:endChr m:val="⌉"/>
            <m:ctrlPr>
              <w:rPr>
                <w:rFonts w:ascii="Cambria Math" w:eastAsiaTheme="minorHAnsi" w:hAnsi="Cambria Math" w:cs="Calibri"/>
                <w:i/>
                <w:iCs/>
                <w:sz w:val="20"/>
                <w:szCs w:val="20"/>
              </w:rPr>
            </m:ctrlPr>
          </m:dPr>
          <m:e>
            <m:func>
              <m:funcPr>
                <m:ctrlPr>
                  <w:rPr>
                    <w:rFonts w:ascii="Cambria Math" w:eastAsiaTheme="minorHAnsi" w:hAnsi="Cambria Math" w:cs="Calibri"/>
                    <w:i/>
                    <w:iCs/>
                    <w:sz w:val="20"/>
                    <w:szCs w:val="20"/>
                  </w:rPr>
                </m:ctrlPr>
              </m:funcPr>
              <m:fName>
                <m:sSub>
                  <m:sSubPr>
                    <m:ctrlPr>
                      <w:rPr>
                        <w:rFonts w:ascii="Cambria Math" w:eastAsiaTheme="minorHAnsi" w:hAnsi="Cambria Math" w:cs="Calibri"/>
                        <w:sz w:val="20"/>
                        <w:szCs w:val="20"/>
                      </w:rPr>
                    </m:ctrlPr>
                  </m:sSubPr>
                  <m:e>
                    <m:r>
                      <m:rPr>
                        <m:sty m:val="p"/>
                      </m:rPr>
                      <w:rPr>
                        <w:rFonts w:ascii="Cambria Math" w:eastAsia="Times New Roman" w:hAnsi="Cambria Math"/>
                        <w:sz w:val="20"/>
                        <w:szCs w:val="20"/>
                      </w:rPr>
                      <m:t>log</m:t>
                    </m:r>
                  </m:e>
                  <m:sub>
                    <m:r>
                      <m:rPr>
                        <m:sty m:val="p"/>
                      </m:rPr>
                      <w:rPr>
                        <w:rFonts w:ascii="Cambria Math" w:eastAsia="Times New Roman" w:hAnsi="Cambria Math"/>
                        <w:sz w:val="20"/>
                        <w:szCs w:val="20"/>
                      </w:rPr>
                      <m:t>2</m:t>
                    </m:r>
                  </m:sub>
                </m:sSub>
              </m:fName>
              <m:e>
                <m:r>
                  <w:rPr>
                    <w:rFonts w:ascii="Cambria Math" w:eastAsia="Times New Roman" w:hAnsi="Cambria Math"/>
                    <w:sz w:val="20"/>
                    <w:szCs w:val="20"/>
                  </w:rPr>
                  <m:t>2L</m:t>
                </m:r>
              </m:e>
            </m:func>
          </m:e>
        </m:d>
      </m:oMath>
      <w:r w:rsidRPr="00BE214C">
        <w:rPr>
          <w:rFonts w:eastAsia="Times New Roman"/>
          <w:sz w:val="20"/>
          <w:szCs w:val="20"/>
        </w:rPr>
        <w:t xml:space="preserve"> bits.</w:t>
      </w:r>
    </w:p>
    <w:p w14:paraId="42E09FB6" w14:textId="77777777" w:rsidR="00D44418" w:rsidRPr="00BE214C" w:rsidRDefault="00D44418" w:rsidP="00D44418">
      <w:pPr>
        <w:pStyle w:val="ListParagraph"/>
        <w:rPr>
          <w:rFonts w:eastAsiaTheme="minorHAnsi"/>
          <w:sz w:val="20"/>
          <w:szCs w:val="20"/>
          <w:lang w:val="en-GB" w:eastAsia="en-US"/>
        </w:rPr>
      </w:pPr>
    </w:p>
    <w:p w14:paraId="186E4D2A" w14:textId="02A0C28F" w:rsidR="006A16B1" w:rsidRDefault="00BE214C" w:rsidP="0093286C">
      <w:pPr>
        <w:pStyle w:val="ListParagraph"/>
        <w:ind w:left="0"/>
        <w:rPr>
          <w:sz w:val="20"/>
          <w:szCs w:val="20"/>
          <w:lang w:val="en-GB" w:eastAsia="en-US"/>
        </w:rPr>
      </w:pPr>
      <w:r>
        <w:rPr>
          <w:sz w:val="20"/>
          <w:szCs w:val="20"/>
          <w:lang w:val="en-GB" w:eastAsia="en-US"/>
        </w:rPr>
        <w:t>It is evident from the text examples above that</w:t>
      </w:r>
      <w:r w:rsidR="00D44418" w:rsidRPr="00BE214C">
        <w:rPr>
          <w:sz w:val="20"/>
          <w:szCs w:val="20"/>
          <w:lang w:val="en-GB" w:eastAsia="en-US"/>
        </w:rPr>
        <w:t xml:space="preserve"> both alternatives require a UCI mapping rule for the </w:t>
      </w:r>
      <w:r>
        <w:rPr>
          <w:sz w:val="20"/>
          <w:szCs w:val="20"/>
          <w:lang w:val="en-GB" w:eastAsia="en-US"/>
        </w:rPr>
        <w:t xml:space="preserve">selected and quantized </w:t>
      </w:r>
      <w:r w:rsidR="00D44418" w:rsidRPr="00BE214C">
        <w:rPr>
          <w:sz w:val="20"/>
          <w:szCs w:val="20"/>
          <w:lang w:val="en-GB" w:eastAsia="en-US"/>
        </w:rPr>
        <w:t>LC coefficients</w:t>
      </w:r>
      <w:r>
        <w:rPr>
          <w:sz w:val="20"/>
          <w:szCs w:val="20"/>
          <w:lang w:val="en-GB" w:eastAsia="en-US"/>
        </w:rPr>
        <w:t xml:space="preserve"> in </w:t>
      </w:r>
      <m:oMath>
        <m:sSub>
          <m:sSubPr>
            <m:ctrlPr>
              <w:rPr>
                <w:rFonts w:ascii="Cambria Math" w:hAnsi="Cambria Math"/>
                <w:i/>
                <w:sz w:val="20"/>
                <w:szCs w:val="20"/>
                <w:lang w:val="en-GB" w:eastAsia="en-US"/>
              </w:rPr>
            </m:ctrlPr>
          </m:sSub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W</m:t>
                </m:r>
              </m:e>
            </m:acc>
          </m:e>
          <m:sub>
            <m:r>
              <w:rPr>
                <w:rFonts w:ascii="Cambria Math" w:hAnsi="Cambria Math"/>
                <w:sz w:val="20"/>
                <w:szCs w:val="20"/>
                <w:lang w:val="en-GB" w:eastAsia="en-US"/>
              </w:rPr>
              <m:t>2</m:t>
            </m:r>
          </m:sub>
        </m:sSub>
      </m:oMath>
      <w:r>
        <w:rPr>
          <w:sz w:val="20"/>
          <w:szCs w:val="20"/>
          <w:lang w:val="en-GB" w:eastAsia="en-US"/>
        </w:rPr>
        <w:t xml:space="preserve">. In both cases, if such mapping rules were not defined the performance </w:t>
      </w:r>
      <w:r w:rsidR="0093286C">
        <w:rPr>
          <w:sz w:val="20"/>
          <w:szCs w:val="20"/>
          <w:lang w:val="en-GB" w:eastAsia="en-US"/>
        </w:rPr>
        <w:t xml:space="preserve">of both solutions would be extremely poor. </w:t>
      </w:r>
    </w:p>
    <w:p w14:paraId="6C549282" w14:textId="038565AA" w:rsidR="0093286C" w:rsidRDefault="0093286C" w:rsidP="0093286C">
      <w:pPr>
        <w:pStyle w:val="ListParagraph"/>
        <w:ind w:left="0"/>
        <w:rPr>
          <w:sz w:val="20"/>
          <w:szCs w:val="20"/>
          <w:lang w:val="en-GB" w:eastAsia="en-US"/>
        </w:rPr>
      </w:pPr>
    </w:p>
    <w:p w14:paraId="499E928D" w14:textId="45979131" w:rsidR="005624E2" w:rsidRPr="006573F0" w:rsidRDefault="0093286C" w:rsidP="005624E2">
      <w:pPr>
        <w:rPr>
          <w:b/>
          <w:i/>
        </w:rPr>
      </w:pPr>
      <w:r w:rsidRPr="005A04FB">
        <w:rPr>
          <w:b/>
          <w:i/>
        </w:rPr>
        <w:t xml:space="preserve">Observation </w:t>
      </w:r>
      <w:r>
        <w:rPr>
          <w:b/>
          <w:i/>
        </w:rPr>
        <w:t>6</w:t>
      </w:r>
      <w:r w:rsidRPr="005A04FB">
        <w:rPr>
          <w:b/>
          <w:i/>
        </w:rPr>
        <w:t xml:space="preserve">. </w:t>
      </w:r>
      <w:r w:rsidR="006A664B">
        <w:rPr>
          <w:b/>
          <w:i/>
        </w:rPr>
        <w:t>Both</w:t>
      </w:r>
      <w:r>
        <w:rPr>
          <w:b/>
          <w:i/>
        </w:rPr>
        <w:t xml:space="preserve"> Alt3.4 and Alt3.3 </w:t>
      </w:r>
      <w:r w:rsidR="006A664B">
        <w:rPr>
          <w:b/>
          <w:i/>
        </w:rPr>
        <w:t>require a simple specification of UCI mapping rules</w:t>
      </w:r>
      <w:r>
        <w:rPr>
          <w:b/>
          <w:i/>
        </w:rPr>
        <w:t xml:space="preserve">. </w:t>
      </w:r>
    </w:p>
    <w:p w14:paraId="3FD2B4A2" w14:textId="282338D5" w:rsidR="003A7124" w:rsidRDefault="003A7124" w:rsidP="003A7124">
      <w:pPr>
        <w:pStyle w:val="Heading1"/>
        <w:rPr>
          <w:b/>
        </w:rPr>
      </w:pPr>
      <w:r>
        <w:t xml:space="preserve">4 </w:t>
      </w:r>
      <w:r>
        <w:tab/>
      </w:r>
      <w:r w:rsidRPr="003A7124">
        <w:rPr>
          <w:b/>
        </w:rPr>
        <w:t>Conclusion</w:t>
      </w:r>
    </w:p>
    <w:p w14:paraId="67938BDC" w14:textId="7C091346" w:rsidR="006573F0" w:rsidRPr="006573F0" w:rsidRDefault="006573F0" w:rsidP="006573F0">
      <w:pPr>
        <w:pStyle w:val="2222"/>
        <w:spacing w:line="288" w:lineRule="auto"/>
        <w:ind w:firstLineChars="0" w:firstLine="0"/>
        <w:rPr>
          <w:lang w:eastAsia="ko-KR"/>
        </w:rPr>
      </w:pPr>
      <w:r>
        <w:rPr>
          <w:lang w:eastAsia="ko-KR"/>
        </w:rPr>
        <w:t xml:space="preserve">In this contribution, simulation results and observations are provided to </w:t>
      </w:r>
      <w:r w:rsidR="003B3B50">
        <w:rPr>
          <w:lang w:eastAsia="ko-KR"/>
        </w:rPr>
        <w:t xml:space="preserve">corroborate the superiority of Alt3.4 over Alt3.3 for signalling the SCI for Rel-16 codebook. A summary of the provided </w:t>
      </w:r>
      <w:r>
        <w:rPr>
          <w:lang w:eastAsia="ko-KR"/>
        </w:rPr>
        <w:t>observations</w:t>
      </w:r>
      <w:r w:rsidR="003B3B50">
        <w:rPr>
          <w:lang w:eastAsia="ko-KR"/>
        </w:rPr>
        <w:t xml:space="preserve"> follows:</w:t>
      </w:r>
      <w:r>
        <w:rPr>
          <w:lang w:eastAsia="ko-KR"/>
        </w:rPr>
        <w:t xml:space="preserve"> </w:t>
      </w:r>
    </w:p>
    <w:p w14:paraId="41B036D7" w14:textId="7EE602C3" w:rsidR="0093286C" w:rsidRPr="003B3B50" w:rsidRDefault="0093286C" w:rsidP="0093286C">
      <w:pPr>
        <w:rPr>
          <w:b/>
          <w:i/>
          <w:iCs/>
          <w:lang w:val="en-US"/>
        </w:rPr>
      </w:pPr>
      <w:r w:rsidRPr="003B3B50">
        <w:rPr>
          <w:b/>
          <w:i/>
        </w:rPr>
        <w:t xml:space="preserve">Observation 1. When </w:t>
      </w:r>
      <m:oMath>
        <m:sSub>
          <m:sSubPr>
            <m:ctrlPr>
              <w:rPr>
                <w:rFonts w:ascii="Cambria Math" w:eastAsiaTheme="minorHAnsi" w:hAnsi="Cambria Math" w:cs="Calibri"/>
                <w:b/>
                <w:i/>
                <w:iCs/>
                <w:sz w:val="22"/>
                <w:szCs w:val="22"/>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&lt;2</m:t>
        </m:r>
        <m:r>
          <m:rPr>
            <m:sty m:val="bi"/>
          </m:rPr>
          <w:rPr>
            <w:rFonts w:ascii="Cambria Math" w:hAnsi="Cambria Math"/>
            <w:lang w:val="en-US"/>
          </w:rPr>
          <m:t>L</m:t>
        </m:r>
      </m:oMath>
      <w:r w:rsidRPr="003B3B50">
        <w:rPr>
          <w:b/>
          <w:i/>
          <w:iCs/>
          <w:lang w:val="en-US"/>
        </w:rPr>
        <w:t xml:space="preserve">  Rel-16 is outperformed by Rel-15. System configurations for which this situation occurs should be considered corner cases which fail to meet the UPT/overhead requirements of Rel-16 WID. </w:t>
      </w:r>
    </w:p>
    <w:p w14:paraId="2034A47C" w14:textId="77777777" w:rsidR="0093286C" w:rsidRDefault="0093286C" w:rsidP="0093286C">
      <w:pPr>
        <w:rPr>
          <w:iCs/>
          <w:lang w:val="en-US"/>
        </w:rPr>
      </w:pPr>
      <w:r w:rsidRPr="005A04FB">
        <w:rPr>
          <w:b/>
          <w:i/>
        </w:rPr>
        <w:t xml:space="preserve">Observation </w:t>
      </w:r>
      <w:r>
        <w:rPr>
          <w:b/>
          <w:i/>
        </w:rPr>
        <w:t>2</w:t>
      </w:r>
      <w:r w:rsidRPr="005A04FB">
        <w:rPr>
          <w:b/>
          <w:i/>
        </w:rPr>
        <w:t xml:space="preserve">. </w:t>
      </w:r>
      <w:r>
        <w:rPr>
          <w:b/>
          <w:i/>
        </w:rPr>
        <w:t xml:space="preserve">There is not relevant case for which Alt3.4 is worse than Alt3.3 in terms of overhead. </w:t>
      </w:r>
    </w:p>
    <w:p w14:paraId="143CAB04" w14:textId="77777777" w:rsidR="006573F0" w:rsidRDefault="006573F0" w:rsidP="006573F0">
      <w:pPr>
        <w:rPr>
          <w:b/>
          <w:i/>
        </w:rPr>
      </w:pPr>
      <w:r w:rsidRPr="005A04FB">
        <w:rPr>
          <w:b/>
          <w:i/>
        </w:rPr>
        <w:t xml:space="preserve">Observation </w:t>
      </w:r>
      <w:r>
        <w:rPr>
          <w:b/>
          <w:i/>
        </w:rPr>
        <w:t>3</w:t>
      </w:r>
      <w:r w:rsidRPr="005A04FB">
        <w:rPr>
          <w:b/>
          <w:i/>
        </w:rPr>
        <w:t xml:space="preserve">. </w:t>
      </w:r>
      <w:r>
        <w:rPr>
          <w:b/>
          <w:i/>
        </w:rPr>
        <w:t>Alt3.4 offers advantages over Alt3.3 in terms of possible design of flexible and unambiguous UCI omission rules, with no need for additional signalling.</w:t>
      </w:r>
    </w:p>
    <w:p w14:paraId="76797C7C" w14:textId="77777777" w:rsidR="006573F0" w:rsidRDefault="006573F0" w:rsidP="006573F0">
      <w:pPr>
        <w:rPr>
          <w:b/>
          <w:i/>
        </w:rPr>
      </w:pPr>
      <w:r w:rsidRPr="005A04FB">
        <w:rPr>
          <w:b/>
          <w:i/>
        </w:rPr>
        <w:t xml:space="preserve">Observation </w:t>
      </w:r>
      <w:r>
        <w:rPr>
          <w:b/>
          <w:i/>
        </w:rPr>
        <w:t>4</w:t>
      </w:r>
      <w:r w:rsidRPr="005A04FB">
        <w:rPr>
          <w:b/>
          <w:i/>
        </w:rPr>
        <w:t xml:space="preserve">. </w:t>
      </w:r>
      <w:r>
        <w:rPr>
          <w:b/>
          <w:i/>
        </w:rPr>
        <w:t xml:space="preserve">Alt3.4 offers advantages over Alt3.3 in terms of robustness to decoding errors of the SCI. </w:t>
      </w:r>
    </w:p>
    <w:p w14:paraId="2DA99E8E" w14:textId="77777777" w:rsidR="006573F0" w:rsidRDefault="006573F0" w:rsidP="006573F0">
      <w:pPr>
        <w:rPr>
          <w:b/>
          <w:i/>
        </w:rPr>
      </w:pPr>
      <w:r w:rsidRPr="005A04FB">
        <w:rPr>
          <w:b/>
          <w:i/>
        </w:rPr>
        <w:t xml:space="preserve">Observation </w:t>
      </w:r>
      <w:r>
        <w:rPr>
          <w:b/>
          <w:i/>
        </w:rPr>
        <w:t>5</w:t>
      </w:r>
      <w:r w:rsidRPr="005A04FB">
        <w:rPr>
          <w:b/>
          <w:i/>
        </w:rPr>
        <w:t xml:space="preserve">. </w:t>
      </w:r>
      <w:r>
        <w:rPr>
          <w:b/>
          <w:i/>
        </w:rPr>
        <w:t xml:space="preserve">The complexity of Alt3.4 and Alt3.3 is very similar. </w:t>
      </w:r>
    </w:p>
    <w:p w14:paraId="3DC45E1D" w14:textId="77777777" w:rsidR="006A664B" w:rsidRPr="006573F0" w:rsidRDefault="006A664B" w:rsidP="006A664B">
      <w:pPr>
        <w:rPr>
          <w:b/>
          <w:i/>
        </w:rPr>
      </w:pPr>
      <w:r w:rsidRPr="005A04FB">
        <w:rPr>
          <w:b/>
          <w:i/>
        </w:rPr>
        <w:t xml:space="preserve">Observation </w:t>
      </w:r>
      <w:r>
        <w:rPr>
          <w:b/>
          <w:i/>
        </w:rPr>
        <w:t>6</w:t>
      </w:r>
      <w:r w:rsidRPr="005A04FB">
        <w:rPr>
          <w:b/>
          <w:i/>
        </w:rPr>
        <w:t xml:space="preserve">. </w:t>
      </w:r>
      <w:r>
        <w:rPr>
          <w:b/>
          <w:i/>
        </w:rPr>
        <w:t xml:space="preserve">Both Alt3.4 and Alt3.3 require a simple specification of UCI mapping rules. </w:t>
      </w:r>
    </w:p>
    <w:p w14:paraId="6A480743" w14:textId="77777777" w:rsidR="003A7124" w:rsidRPr="006573F0" w:rsidRDefault="003A7124" w:rsidP="003A7124"/>
    <w:p w14:paraId="09D14B3B" w14:textId="4A28AD91" w:rsidR="002E6BF7" w:rsidRPr="006573F0" w:rsidRDefault="00B313D9" w:rsidP="006573F0">
      <w:pPr>
        <w:pStyle w:val="Heading1"/>
      </w:pPr>
      <w:r>
        <w:t>References</w:t>
      </w:r>
      <w:r w:rsidR="002E6BF7">
        <w:fldChar w:fldCharType="begin"/>
      </w:r>
      <w:r w:rsidR="002E6BF7">
        <w:rPr>
          <w:lang w:val="fr-FR"/>
        </w:rPr>
        <w:instrText xml:space="preserve"> BIBLIOGRAPHY  \l 1036 </w:instrText>
      </w:r>
      <w:r w:rsidR="002E6BF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E6BF7" w14:paraId="64453D5F" w14:textId="77777777" w:rsidTr="002E6BF7">
        <w:trPr>
          <w:divId w:val="924726436"/>
          <w:tblCellSpacing w:w="15" w:type="dxa"/>
        </w:trPr>
        <w:tc>
          <w:tcPr>
            <w:tcW w:w="137" w:type="pct"/>
            <w:hideMark/>
          </w:tcPr>
          <w:p w14:paraId="1179213A" w14:textId="13ED187E" w:rsidR="002E6BF7" w:rsidRDefault="002E6BF7">
            <w:pPr>
              <w:pStyle w:val="Bibliography"/>
              <w:rPr>
                <w:noProof/>
                <w:sz w:val="24"/>
                <w:szCs w:val="24"/>
              </w:rPr>
            </w:pPr>
            <w:r>
              <w:rPr>
                <w:noProof/>
              </w:rPr>
              <w:t xml:space="preserve">[1] </w:t>
            </w:r>
          </w:p>
        </w:tc>
        <w:tc>
          <w:tcPr>
            <w:tcW w:w="0" w:type="auto"/>
            <w:hideMark/>
          </w:tcPr>
          <w:p w14:paraId="6EFC6896" w14:textId="3626FF3F" w:rsidR="00217320" w:rsidRPr="00217320" w:rsidRDefault="002E6BF7" w:rsidP="00217320">
            <w:pPr>
              <w:pStyle w:val="Bibliography"/>
              <w:rPr>
                <w:noProof/>
              </w:rPr>
            </w:pPr>
            <w:r>
              <w:rPr>
                <w:noProof/>
              </w:rPr>
              <w:t>3GPP, «RAN1 Chairman's Notes RAN1#9</w:t>
            </w:r>
            <w:r w:rsidR="00217320">
              <w:rPr>
                <w:noProof/>
              </w:rPr>
              <w:t>6b</w:t>
            </w:r>
            <w:r>
              <w:rPr>
                <w:noProof/>
              </w:rPr>
              <w:t>,» Xi'an, People's Republic of China, 8 April - 12 April 2019.</w:t>
            </w:r>
          </w:p>
        </w:tc>
      </w:tr>
      <w:tr w:rsidR="00217320" w:rsidRPr="00217320" w14:paraId="1BECE08F" w14:textId="77777777" w:rsidTr="002E6BF7">
        <w:trPr>
          <w:divId w:val="924726436"/>
          <w:tblCellSpacing w:w="15" w:type="dxa"/>
        </w:trPr>
        <w:tc>
          <w:tcPr>
            <w:tcW w:w="137" w:type="pct"/>
          </w:tcPr>
          <w:p w14:paraId="039620A8" w14:textId="3310C0FC" w:rsidR="00217320" w:rsidRDefault="00217320">
            <w:pPr>
              <w:pStyle w:val="Bibliography"/>
              <w:rPr>
                <w:noProof/>
              </w:rPr>
            </w:pPr>
            <w:r>
              <w:rPr>
                <w:noProof/>
              </w:rPr>
              <w:t xml:space="preserve">[2] </w:t>
            </w:r>
          </w:p>
        </w:tc>
        <w:tc>
          <w:tcPr>
            <w:tcW w:w="0" w:type="auto"/>
          </w:tcPr>
          <w:p w14:paraId="316F751E" w14:textId="232A4FDA" w:rsidR="00217320" w:rsidRPr="00217320" w:rsidRDefault="00217320" w:rsidP="00217320">
            <w:pPr>
              <w:pStyle w:val="Bibliography"/>
              <w:rPr>
                <w:noProof/>
                <w:lang w:val="en-US"/>
              </w:rPr>
            </w:pPr>
            <w:r w:rsidRPr="00217320">
              <w:rPr>
                <w:noProof/>
                <w:lang w:val="en-US"/>
              </w:rPr>
              <w:t xml:space="preserve">R1-1907315, Nokia/NSB, MU-CSI </w:t>
            </w:r>
            <w:r>
              <w:rPr>
                <w:noProof/>
                <w:lang w:val="en-US"/>
              </w:rPr>
              <w:t>R</w:t>
            </w:r>
            <w:r w:rsidRPr="00217320">
              <w:rPr>
                <w:noProof/>
                <w:lang w:val="en-US"/>
              </w:rPr>
              <w:t xml:space="preserve">ank extension </w:t>
            </w:r>
            <w:r>
              <w:rPr>
                <w:noProof/>
                <w:lang w:val="en-US"/>
              </w:rPr>
              <w:t>parameter setting and UCI design</w:t>
            </w:r>
          </w:p>
        </w:tc>
      </w:tr>
      <w:tr w:rsidR="00217320" w14:paraId="5F5AFD68" w14:textId="77777777" w:rsidTr="002E6BF7">
        <w:trPr>
          <w:divId w:val="924726436"/>
          <w:tblCellSpacing w:w="15" w:type="dxa"/>
        </w:trPr>
        <w:tc>
          <w:tcPr>
            <w:tcW w:w="137" w:type="pct"/>
          </w:tcPr>
          <w:p w14:paraId="6AD0A6BE" w14:textId="674DE9D7" w:rsidR="00217320" w:rsidRDefault="00217320">
            <w:pPr>
              <w:pStyle w:val="Bibliography"/>
              <w:rPr>
                <w:noProof/>
              </w:rPr>
            </w:pPr>
            <w:r>
              <w:rPr>
                <w:noProof/>
              </w:rPr>
              <w:t>[3]</w:t>
            </w:r>
          </w:p>
        </w:tc>
        <w:tc>
          <w:tcPr>
            <w:tcW w:w="0" w:type="auto"/>
          </w:tcPr>
          <w:p w14:paraId="6199ABA7" w14:textId="1DEB0F70" w:rsidR="00217320" w:rsidRDefault="00217320" w:rsidP="00217320">
            <w:pPr>
              <w:pStyle w:val="Bibliography"/>
              <w:rPr>
                <w:noProof/>
              </w:rPr>
            </w:pPr>
            <w:r>
              <w:rPr>
                <w:noProof/>
              </w:rPr>
              <w:t>R1-1907710, Samsung, On the strongest coefficient indicator</w:t>
            </w:r>
          </w:p>
        </w:tc>
      </w:tr>
      <w:tr w:rsidR="00217320" w14:paraId="1E5F0377" w14:textId="77777777" w:rsidTr="002E6BF7">
        <w:trPr>
          <w:divId w:val="924726436"/>
          <w:tblCellSpacing w:w="15" w:type="dxa"/>
        </w:trPr>
        <w:tc>
          <w:tcPr>
            <w:tcW w:w="137" w:type="pct"/>
          </w:tcPr>
          <w:p w14:paraId="40B87385" w14:textId="77777777" w:rsidR="00217320" w:rsidRDefault="00217320">
            <w:pPr>
              <w:pStyle w:val="Bibliography"/>
              <w:rPr>
                <w:noProof/>
              </w:rPr>
            </w:pPr>
          </w:p>
        </w:tc>
        <w:tc>
          <w:tcPr>
            <w:tcW w:w="0" w:type="auto"/>
          </w:tcPr>
          <w:p w14:paraId="7F348F01" w14:textId="77777777" w:rsidR="00217320" w:rsidRDefault="00217320" w:rsidP="00217320">
            <w:pPr>
              <w:pStyle w:val="Bibliography"/>
              <w:rPr>
                <w:noProof/>
              </w:rPr>
            </w:pPr>
          </w:p>
        </w:tc>
      </w:tr>
    </w:tbl>
    <w:p w14:paraId="6A066F6A" w14:textId="77777777" w:rsidR="002E6BF7" w:rsidRDefault="002E6BF7">
      <w:pPr>
        <w:divId w:val="924726436"/>
        <w:rPr>
          <w:rFonts w:eastAsia="Times New Roman"/>
          <w:noProof/>
        </w:rPr>
      </w:pPr>
    </w:p>
    <w:p w14:paraId="1B38C6C6" w14:textId="64E40B0F" w:rsidR="00B313D9" w:rsidRPr="00B313D9" w:rsidRDefault="002E6BF7" w:rsidP="00B313D9">
      <w:r>
        <w:fldChar w:fldCharType="end"/>
      </w:r>
    </w:p>
    <w:sectPr w:rsidR="00B313D9" w:rsidRPr="00B313D9" w:rsidSect="00696828">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9D443" w14:textId="77777777" w:rsidR="009D5DD0" w:rsidRDefault="009D5DD0" w:rsidP="008E4942">
      <w:pPr>
        <w:spacing w:after="0"/>
      </w:pPr>
      <w:r>
        <w:separator/>
      </w:r>
    </w:p>
  </w:endnote>
  <w:endnote w:type="continuationSeparator" w:id="0">
    <w:p w14:paraId="3BA45144" w14:textId="77777777" w:rsidR="009D5DD0" w:rsidRDefault="009D5DD0" w:rsidP="008E4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9FEE" w14:textId="77777777" w:rsidR="009D5DD0" w:rsidRDefault="009D5DD0">
    <w:pPr>
      <w:pStyle w:val="Footer"/>
    </w:pPr>
    <w:r>
      <w:rPr>
        <w:lang w:eastAsia="zh-CN"/>
      </w:rPr>
      <mc:AlternateContent>
        <mc:Choice Requires="wps">
          <w:drawing>
            <wp:anchor distT="0" distB="0" distL="114300" distR="114300" simplePos="0" relativeHeight="251659264" behindDoc="0" locked="0" layoutInCell="0" allowOverlap="1" wp14:anchorId="571EDEF6" wp14:editId="565C6A2B">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61D58E" w14:textId="77777777" w:rsidR="009D5DD0" w:rsidRPr="00B75603" w:rsidRDefault="009D5DD0" w:rsidP="00696828">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1EDEF6"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3261D58E" w14:textId="77777777" w:rsidR="00677AFC" w:rsidRPr="00B75603" w:rsidRDefault="00677AFC" w:rsidP="00696828">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153C8" w14:textId="77777777" w:rsidR="009D5DD0" w:rsidRDefault="009D5DD0" w:rsidP="008E4942">
      <w:pPr>
        <w:spacing w:after="0"/>
      </w:pPr>
      <w:r>
        <w:separator/>
      </w:r>
    </w:p>
  </w:footnote>
  <w:footnote w:type="continuationSeparator" w:id="0">
    <w:p w14:paraId="585BFAF3" w14:textId="77777777" w:rsidR="009D5DD0" w:rsidRDefault="009D5DD0" w:rsidP="008E49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2C9"/>
    <w:multiLevelType w:val="hybridMultilevel"/>
    <w:tmpl w:val="905EDF1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082F158E"/>
    <w:multiLevelType w:val="hybridMultilevel"/>
    <w:tmpl w:val="3498F3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6754B"/>
    <w:multiLevelType w:val="hybridMultilevel"/>
    <w:tmpl w:val="97E846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04F5428"/>
    <w:multiLevelType w:val="hybridMultilevel"/>
    <w:tmpl w:val="3568341C"/>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abstractNum w:abstractNumId="4" w15:restartNumberingAfterBreak="0">
    <w:nsid w:val="29596326"/>
    <w:multiLevelType w:val="hybridMultilevel"/>
    <w:tmpl w:val="F67E0A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2B2269A5"/>
    <w:multiLevelType w:val="hybridMultilevel"/>
    <w:tmpl w:val="53648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74548"/>
    <w:multiLevelType w:val="hybridMultilevel"/>
    <w:tmpl w:val="4410840A"/>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7" w15:restartNumberingAfterBreak="0">
    <w:nsid w:val="371D0BDB"/>
    <w:multiLevelType w:val="hybridMultilevel"/>
    <w:tmpl w:val="EAE29F5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AB3D8E"/>
    <w:multiLevelType w:val="hybridMultilevel"/>
    <w:tmpl w:val="6A244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421E1B"/>
    <w:multiLevelType w:val="hybridMultilevel"/>
    <w:tmpl w:val="AD1461F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A925544"/>
    <w:multiLevelType w:val="hybridMultilevel"/>
    <w:tmpl w:val="936E902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15:restartNumberingAfterBreak="0">
    <w:nsid w:val="61594F9B"/>
    <w:multiLevelType w:val="hybridMultilevel"/>
    <w:tmpl w:val="936E902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7931206F"/>
    <w:multiLevelType w:val="hybridMultilevel"/>
    <w:tmpl w:val="47E0EF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C215845"/>
    <w:multiLevelType w:val="hybridMultilevel"/>
    <w:tmpl w:val="408836B0"/>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8"/>
  </w:num>
  <w:num w:numId="2">
    <w:abstractNumId w:val="0"/>
  </w:num>
  <w:num w:numId="3">
    <w:abstractNumId w:val="13"/>
  </w:num>
  <w:num w:numId="4">
    <w:abstractNumId w:val="7"/>
  </w:num>
  <w:num w:numId="5">
    <w:abstractNumId w:val="11"/>
  </w:num>
  <w:num w:numId="6">
    <w:abstractNumId w:val="12"/>
  </w:num>
  <w:num w:numId="7">
    <w:abstractNumId w:val="1"/>
  </w:num>
  <w:num w:numId="8">
    <w:abstractNumId w:val="3"/>
  </w:num>
  <w:num w:numId="9">
    <w:abstractNumId w:val="9"/>
  </w:num>
  <w:num w:numId="10">
    <w:abstractNumId w:val="3"/>
  </w:num>
  <w:num w:numId="11">
    <w:abstractNumId w:val="6"/>
  </w:num>
  <w:num w:numId="12">
    <w:abstractNumId w:val="10"/>
  </w:num>
  <w:num w:numId="13">
    <w:abstractNumId w:val="1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942"/>
    <w:rsid w:val="0000022C"/>
    <w:rsid w:val="00001DC5"/>
    <w:rsid w:val="0001037F"/>
    <w:rsid w:val="00013727"/>
    <w:rsid w:val="00016322"/>
    <w:rsid w:val="00016344"/>
    <w:rsid w:val="0004190B"/>
    <w:rsid w:val="00043A95"/>
    <w:rsid w:val="0004577D"/>
    <w:rsid w:val="0004605A"/>
    <w:rsid w:val="00050B08"/>
    <w:rsid w:val="00050E6B"/>
    <w:rsid w:val="00057102"/>
    <w:rsid w:val="00061685"/>
    <w:rsid w:val="00075259"/>
    <w:rsid w:val="00080306"/>
    <w:rsid w:val="00087D47"/>
    <w:rsid w:val="000A0016"/>
    <w:rsid w:val="000A67B8"/>
    <w:rsid w:val="000B17A2"/>
    <w:rsid w:val="000C1728"/>
    <w:rsid w:val="001024A6"/>
    <w:rsid w:val="0013332E"/>
    <w:rsid w:val="00141F8B"/>
    <w:rsid w:val="00155885"/>
    <w:rsid w:val="00162791"/>
    <w:rsid w:val="00176BAF"/>
    <w:rsid w:val="0019506F"/>
    <w:rsid w:val="001A05EB"/>
    <w:rsid w:val="001A5E90"/>
    <w:rsid w:val="001C70D0"/>
    <w:rsid w:val="001F367B"/>
    <w:rsid w:val="001F6CF5"/>
    <w:rsid w:val="00214F68"/>
    <w:rsid w:val="00217320"/>
    <w:rsid w:val="0022248F"/>
    <w:rsid w:val="002369B3"/>
    <w:rsid w:val="002432F2"/>
    <w:rsid w:val="00250925"/>
    <w:rsid w:val="00257A1C"/>
    <w:rsid w:val="0027181B"/>
    <w:rsid w:val="002823C5"/>
    <w:rsid w:val="002B16EA"/>
    <w:rsid w:val="002B46C9"/>
    <w:rsid w:val="002B48CC"/>
    <w:rsid w:val="002C7860"/>
    <w:rsid w:val="002D345E"/>
    <w:rsid w:val="002E388B"/>
    <w:rsid w:val="002E6BF7"/>
    <w:rsid w:val="003063C0"/>
    <w:rsid w:val="00322753"/>
    <w:rsid w:val="00331E39"/>
    <w:rsid w:val="003331DA"/>
    <w:rsid w:val="00345856"/>
    <w:rsid w:val="00375433"/>
    <w:rsid w:val="003771BB"/>
    <w:rsid w:val="003778EC"/>
    <w:rsid w:val="003A64D0"/>
    <w:rsid w:val="003A7124"/>
    <w:rsid w:val="003B3B50"/>
    <w:rsid w:val="003F19B7"/>
    <w:rsid w:val="003F7C2F"/>
    <w:rsid w:val="00404650"/>
    <w:rsid w:val="00405C58"/>
    <w:rsid w:val="00423570"/>
    <w:rsid w:val="004316C9"/>
    <w:rsid w:val="00441B08"/>
    <w:rsid w:val="00450562"/>
    <w:rsid w:val="00452A33"/>
    <w:rsid w:val="00474B18"/>
    <w:rsid w:val="00491497"/>
    <w:rsid w:val="00495679"/>
    <w:rsid w:val="004A0CA2"/>
    <w:rsid w:val="004D5AD5"/>
    <w:rsid w:val="004E1579"/>
    <w:rsid w:val="004F0617"/>
    <w:rsid w:val="004F5765"/>
    <w:rsid w:val="00503444"/>
    <w:rsid w:val="005101DB"/>
    <w:rsid w:val="00543D62"/>
    <w:rsid w:val="00550BBC"/>
    <w:rsid w:val="005624E2"/>
    <w:rsid w:val="005811FD"/>
    <w:rsid w:val="0059422D"/>
    <w:rsid w:val="005A0F31"/>
    <w:rsid w:val="005B7BF4"/>
    <w:rsid w:val="005D4BA8"/>
    <w:rsid w:val="005F4302"/>
    <w:rsid w:val="0061513B"/>
    <w:rsid w:val="006164FC"/>
    <w:rsid w:val="0061720B"/>
    <w:rsid w:val="00625899"/>
    <w:rsid w:val="00656D1E"/>
    <w:rsid w:val="006573F0"/>
    <w:rsid w:val="00677AFC"/>
    <w:rsid w:val="006944E3"/>
    <w:rsid w:val="00696828"/>
    <w:rsid w:val="006A16B1"/>
    <w:rsid w:val="006A664B"/>
    <w:rsid w:val="006C4E04"/>
    <w:rsid w:val="006D19EC"/>
    <w:rsid w:val="006E798F"/>
    <w:rsid w:val="006F47E5"/>
    <w:rsid w:val="006F7EE6"/>
    <w:rsid w:val="007241BC"/>
    <w:rsid w:val="0072555A"/>
    <w:rsid w:val="0072573B"/>
    <w:rsid w:val="00736FEF"/>
    <w:rsid w:val="007455C7"/>
    <w:rsid w:val="0076054D"/>
    <w:rsid w:val="007747C0"/>
    <w:rsid w:val="00775AE2"/>
    <w:rsid w:val="00781E40"/>
    <w:rsid w:val="00783E46"/>
    <w:rsid w:val="007926AE"/>
    <w:rsid w:val="007A707A"/>
    <w:rsid w:val="007C5273"/>
    <w:rsid w:val="007D00CA"/>
    <w:rsid w:val="007E2FAB"/>
    <w:rsid w:val="007E3A80"/>
    <w:rsid w:val="007E4329"/>
    <w:rsid w:val="0080307B"/>
    <w:rsid w:val="00806D51"/>
    <w:rsid w:val="008216E8"/>
    <w:rsid w:val="00867491"/>
    <w:rsid w:val="00876A13"/>
    <w:rsid w:val="0088206B"/>
    <w:rsid w:val="008A6B03"/>
    <w:rsid w:val="008E4942"/>
    <w:rsid w:val="008F1FE8"/>
    <w:rsid w:val="008F60C7"/>
    <w:rsid w:val="0091330B"/>
    <w:rsid w:val="00921FA0"/>
    <w:rsid w:val="009233E0"/>
    <w:rsid w:val="00926DBE"/>
    <w:rsid w:val="0093286C"/>
    <w:rsid w:val="00933C1C"/>
    <w:rsid w:val="00962D15"/>
    <w:rsid w:val="0099774D"/>
    <w:rsid w:val="009A7166"/>
    <w:rsid w:val="009B23C0"/>
    <w:rsid w:val="009C14E1"/>
    <w:rsid w:val="009C4840"/>
    <w:rsid w:val="009D16F3"/>
    <w:rsid w:val="009D1707"/>
    <w:rsid w:val="009D5DD0"/>
    <w:rsid w:val="009D713E"/>
    <w:rsid w:val="00A04A22"/>
    <w:rsid w:val="00A26A34"/>
    <w:rsid w:val="00A36777"/>
    <w:rsid w:val="00A43A34"/>
    <w:rsid w:val="00A52B3F"/>
    <w:rsid w:val="00A530CD"/>
    <w:rsid w:val="00A6521D"/>
    <w:rsid w:val="00A71539"/>
    <w:rsid w:val="00A81F02"/>
    <w:rsid w:val="00AC58A4"/>
    <w:rsid w:val="00AD7E19"/>
    <w:rsid w:val="00AE5B9F"/>
    <w:rsid w:val="00AF6E17"/>
    <w:rsid w:val="00B313D9"/>
    <w:rsid w:val="00B41457"/>
    <w:rsid w:val="00B44A53"/>
    <w:rsid w:val="00B50BDE"/>
    <w:rsid w:val="00B533A2"/>
    <w:rsid w:val="00B601AD"/>
    <w:rsid w:val="00B66588"/>
    <w:rsid w:val="00B756FC"/>
    <w:rsid w:val="00B93C80"/>
    <w:rsid w:val="00BA081B"/>
    <w:rsid w:val="00BB13C6"/>
    <w:rsid w:val="00BB5568"/>
    <w:rsid w:val="00BD2026"/>
    <w:rsid w:val="00BE214C"/>
    <w:rsid w:val="00BF3346"/>
    <w:rsid w:val="00C17428"/>
    <w:rsid w:val="00C20791"/>
    <w:rsid w:val="00C22604"/>
    <w:rsid w:val="00C57717"/>
    <w:rsid w:val="00C61E93"/>
    <w:rsid w:val="00C712DE"/>
    <w:rsid w:val="00C730E3"/>
    <w:rsid w:val="00C74601"/>
    <w:rsid w:val="00C9110E"/>
    <w:rsid w:val="00CC4E56"/>
    <w:rsid w:val="00CC60C0"/>
    <w:rsid w:val="00CD39A1"/>
    <w:rsid w:val="00CD3D8A"/>
    <w:rsid w:val="00D00EE4"/>
    <w:rsid w:val="00D04589"/>
    <w:rsid w:val="00D07936"/>
    <w:rsid w:val="00D151B5"/>
    <w:rsid w:val="00D162EB"/>
    <w:rsid w:val="00D16388"/>
    <w:rsid w:val="00D25426"/>
    <w:rsid w:val="00D309EC"/>
    <w:rsid w:val="00D44418"/>
    <w:rsid w:val="00D72256"/>
    <w:rsid w:val="00DA45A7"/>
    <w:rsid w:val="00DC7481"/>
    <w:rsid w:val="00DE3A53"/>
    <w:rsid w:val="00DF2B3B"/>
    <w:rsid w:val="00DF481F"/>
    <w:rsid w:val="00DF74A7"/>
    <w:rsid w:val="00E57467"/>
    <w:rsid w:val="00E60D67"/>
    <w:rsid w:val="00E62022"/>
    <w:rsid w:val="00E74156"/>
    <w:rsid w:val="00E8019E"/>
    <w:rsid w:val="00E845D1"/>
    <w:rsid w:val="00E86228"/>
    <w:rsid w:val="00E978D0"/>
    <w:rsid w:val="00EA3381"/>
    <w:rsid w:val="00EC099A"/>
    <w:rsid w:val="00EE47B2"/>
    <w:rsid w:val="00EE6DDA"/>
    <w:rsid w:val="00F04303"/>
    <w:rsid w:val="00F14A2E"/>
    <w:rsid w:val="00F159AB"/>
    <w:rsid w:val="00F33618"/>
    <w:rsid w:val="00F43BF7"/>
    <w:rsid w:val="00F641E4"/>
    <w:rsid w:val="00F72519"/>
    <w:rsid w:val="00F903CD"/>
    <w:rsid w:val="00F91019"/>
    <w:rsid w:val="00FA1332"/>
    <w:rsid w:val="00FE5727"/>
    <w:rsid w:val="00FF4B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C9B3D25"/>
  <w15:chartTrackingRefBased/>
  <w15:docId w15:val="{8EE6A075-D339-4D29-AEC9-35444EAB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4942"/>
    <w:pPr>
      <w:overflowPunct w:val="0"/>
      <w:autoSpaceDE w:val="0"/>
      <w:autoSpaceDN w:val="0"/>
      <w:adjustRightInd w:val="0"/>
      <w:spacing w:after="180" w:line="240" w:lineRule="auto"/>
      <w:textAlignment w:val="baseline"/>
    </w:pPr>
    <w:rPr>
      <w:rFonts w:ascii="Times New Roman" w:hAnsi="Times New Roman" w:cs="Times New Roman"/>
      <w:sz w:val="20"/>
      <w:szCs w:val="20"/>
      <w:lang w:val="en-GB"/>
    </w:rPr>
  </w:style>
  <w:style w:type="paragraph" w:styleId="Heading1">
    <w:name w:val="heading 1"/>
    <w:aliases w:val="H1,h1,Heading 1 3GPP"/>
    <w:next w:val="Normal"/>
    <w:link w:val="Heading1Char"/>
    <w:qFormat/>
    <w:rsid w:val="008E49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paragraph" w:styleId="Heading2">
    <w:name w:val="heading 2"/>
    <w:aliases w:val="H2,h2,DO NOT USE_h2,h21,Heading 2 3GPP"/>
    <w:basedOn w:val="Heading1"/>
    <w:next w:val="Normal"/>
    <w:link w:val="Heading2Char"/>
    <w:qFormat/>
    <w:rsid w:val="008E4942"/>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E494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4942"/>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8E4942"/>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8E4942"/>
    <w:rPr>
      <w:rFonts w:ascii="Arial" w:eastAsia="SimSun" w:hAnsi="Arial" w:cs="Times New Roman"/>
      <w:sz w:val="28"/>
      <w:szCs w:val="20"/>
      <w:lang w:val="en-GB"/>
    </w:rPr>
  </w:style>
  <w:style w:type="paragraph" w:styleId="Header">
    <w:name w:val="header"/>
    <w:aliases w:val="header odd"/>
    <w:link w:val="HeaderChar"/>
    <w:rsid w:val="008E494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
    <w:basedOn w:val="DefaultParagraphFont"/>
    <w:link w:val="Header"/>
    <w:rsid w:val="008E4942"/>
    <w:rPr>
      <w:rFonts w:ascii="Arial" w:eastAsia="SimSun" w:hAnsi="Arial" w:cs="Times New Roman"/>
      <w:b/>
      <w:noProof/>
      <w:sz w:val="18"/>
      <w:szCs w:val="20"/>
      <w:lang w:val="en-US"/>
    </w:rPr>
  </w:style>
  <w:style w:type="paragraph" w:styleId="Footer">
    <w:name w:val="footer"/>
    <w:basedOn w:val="Header"/>
    <w:link w:val="FooterChar"/>
    <w:rsid w:val="008E4942"/>
    <w:pPr>
      <w:jc w:val="center"/>
    </w:pPr>
    <w:rPr>
      <w:i/>
    </w:rPr>
  </w:style>
  <w:style w:type="character" w:customStyle="1" w:styleId="FooterChar">
    <w:name w:val="Footer Char"/>
    <w:basedOn w:val="DefaultParagraphFont"/>
    <w:link w:val="Footer"/>
    <w:rsid w:val="008E4942"/>
    <w:rPr>
      <w:rFonts w:ascii="Arial" w:eastAsia="SimSun" w:hAnsi="Arial" w:cs="Times New Roman"/>
      <w:b/>
      <w:i/>
      <w:noProof/>
      <w:sz w:val="18"/>
      <w:szCs w:val="20"/>
      <w:lang w:val="en-US"/>
    </w:rPr>
  </w:style>
  <w:style w:type="paragraph" w:customStyle="1" w:styleId="CRCoverPage">
    <w:name w:val="CR Cover Page"/>
    <w:rsid w:val="008E4942"/>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8E4942"/>
    <w:rPr>
      <w:sz w:val="16"/>
    </w:rPr>
  </w:style>
  <w:style w:type="paragraph" w:styleId="CommentText">
    <w:name w:val="annotation text"/>
    <w:basedOn w:val="Normal"/>
    <w:link w:val="CommentTextChar"/>
    <w:semiHidden/>
    <w:rsid w:val="008E4942"/>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8E4942"/>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8E4942"/>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8E4942"/>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
    <w:basedOn w:val="Normal"/>
    <w:link w:val="ListParagraphChar"/>
    <w:uiPriority w:val="34"/>
    <w:qFormat/>
    <w:rsid w:val="008E4942"/>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8E4942"/>
    <w:pPr>
      <w:spacing w:after="0" w:line="240" w:lineRule="auto"/>
    </w:pPr>
    <w:rPr>
      <w:rFonts w:ascii="CG Times (W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
    <w:link w:val="ListParagraph"/>
    <w:uiPriority w:val="34"/>
    <w:qFormat/>
    <w:locked/>
    <w:rsid w:val="008E4942"/>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8E4942"/>
  </w:style>
  <w:style w:type="paragraph" w:styleId="BalloonText">
    <w:name w:val="Balloon Text"/>
    <w:basedOn w:val="Normal"/>
    <w:link w:val="BalloonTextChar"/>
    <w:uiPriority w:val="99"/>
    <w:semiHidden/>
    <w:unhideWhenUsed/>
    <w:rsid w:val="008E49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942"/>
    <w:rPr>
      <w:rFonts w:ascii="Segoe UI" w:eastAsia="SimSun" w:hAnsi="Segoe UI" w:cs="Segoe UI"/>
      <w:sz w:val="18"/>
      <w:szCs w:val="18"/>
      <w:lang w:val="en-GB"/>
    </w:rPr>
  </w:style>
  <w:style w:type="paragraph" w:styleId="Revision">
    <w:name w:val="Revision"/>
    <w:hidden/>
    <w:uiPriority w:val="99"/>
    <w:semiHidden/>
    <w:rsid w:val="008E4942"/>
    <w:pPr>
      <w:spacing w:after="0" w:line="240" w:lineRule="auto"/>
    </w:pPr>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942"/>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8E4942"/>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8E4942"/>
    <w:rPr>
      <w:color w:val="808080"/>
    </w:rPr>
  </w:style>
  <w:style w:type="paragraph" w:customStyle="1" w:styleId="TAH">
    <w:name w:val="TAH"/>
    <w:basedOn w:val="Normal"/>
    <w:link w:val="TAHCar"/>
    <w:qFormat/>
    <w:rsid w:val="008E4942"/>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8E4942"/>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8E4942"/>
    <w:rPr>
      <w:rFonts w:ascii="Arial" w:eastAsia="Times New Roman" w:hAnsi="Arial" w:cs="Times New Roman"/>
      <w:b/>
      <w:sz w:val="18"/>
      <w:szCs w:val="20"/>
      <w:lang w:val="en-GB" w:eastAsia="ja-JP"/>
    </w:rPr>
  </w:style>
  <w:style w:type="character" w:customStyle="1" w:styleId="TALChar">
    <w:name w:val="TAL Char"/>
    <w:link w:val="TAL"/>
    <w:qFormat/>
    <w:locked/>
    <w:rsid w:val="008E4942"/>
    <w:rPr>
      <w:rFonts w:ascii="Arial" w:eastAsia="SimSun" w:hAnsi="Arial" w:cs="Times New Roman"/>
      <w:sz w:val="18"/>
      <w:szCs w:val="20"/>
      <w:lang w:val="en-GB"/>
    </w:rPr>
  </w:style>
  <w:style w:type="character" w:styleId="Hyperlink">
    <w:name w:val="Hyperlink"/>
    <w:uiPriority w:val="99"/>
    <w:rsid w:val="008E4942"/>
    <w:rPr>
      <w:color w:val="0000FF"/>
      <w:u w:val="single"/>
    </w:rPr>
  </w:style>
  <w:style w:type="character" w:styleId="UnresolvedMention">
    <w:name w:val="Unresolved Mention"/>
    <w:basedOn w:val="DefaultParagraphFont"/>
    <w:uiPriority w:val="99"/>
    <w:semiHidden/>
    <w:unhideWhenUsed/>
    <w:rsid w:val="008E4942"/>
    <w:rPr>
      <w:color w:val="808080"/>
      <w:shd w:val="clear" w:color="auto" w:fill="E6E6E6"/>
    </w:rPr>
  </w:style>
  <w:style w:type="character" w:styleId="Emphasis">
    <w:name w:val="Emphasis"/>
    <w:uiPriority w:val="20"/>
    <w:qFormat/>
    <w:rsid w:val="00F903CD"/>
    <w:rPr>
      <w:i/>
      <w:iCs/>
    </w:rPr>
  </w:style>
  <w:style w:type="paragraph" w:customStyle="1" w:styleId="maintext">
    <w:name w:val="main text"/>
    <w:basedOn w:val="Normal"/>
    <w:link w:val="maintextChar"/>
    <w:qFormat/>
    <w:rsid w:val="00F903C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F903CD"/>
    <w:rPr>
      <w:rFonts w:ascii="Times New Roman" w:eastAsia="Malgun Gothic" w:hAnsi="Times New Roman"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6573F0"/>
    <w:pPr>
      <w:overflowPunct/>
      <w:autoSpaceDE/>
      <w:autoSpaceDN/>
      <w:adjustRightInd/>
      <w:spacing w:before="60" w:after="12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6573F0"/>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2014">
      <w:bodyDiv w:val="1"/>
      <w:marLeft w:val="0"/>
      <w:marRight w:val="0"/>
      <w:marTop w:val="0"/>
      <w:marBottom w:val="0"/>
      <w:divBdr>
        <w:top w:val="none" w:sz="0" w:space="0" w:color="auto"/>
        <w:left w:val="none" w:sz="0" w:space="0" w:color="auto"/>
        <w:bottom w:val="none" w:sz="0" w:space="0" w:color="auto"/>
        <w:right w:val="none" w:sz="0" w:space="0" w:color="auto"/>
      </w:divBdr>
    </w:div>
    <w:div w:id="60912639">
      <w:bodyDiv w:val="1"/>
      <w:marLeft w:val="0"/>
      <w:marRight w:val="0"/>
      <w:marTop w:val="0"/>
      <w:marBottom w:val="0"/>
      <w:divBdr>
        <w:top w:val="none" w:sz="0" w:space="0" w:color="auto"/>
        <w:left w:val="none" w:sz="0" w:space="0" w:color="auto"/>
        <w:bottom w:val="none" w:sz="0" w:space="0" w:color="auto"/>
        <w:right w:val="none" w:sz="0" w:space="0" w:color="auto"/>
      </w:divBdr>
    </w:div>
    <w:div w:id="165173345">
      <w:bodyDiv w:val="1"/>
      <w:marLeft w:val="0"/>
      <w:marRight w:val="0"/>
      <w:marTop w:val="0"/>
      <w:marBottom w:val="0"/>
      <w:divBdr>
        <w:top w:val="none" w:sz="0" w:space="0" w:color="auto"/>
        <w:left w:val="none" w:sz="0" w:space="0" w:color="auto"/>
        <w:bottom w:val="none" w:sz="0" w:space="0" w:color="auto"/>
        <w:right w:val="none" w:sz="0" w:space="0" w:color="auto"/>
      </w:divBdr>
    </w:div>
    <w:div w:id="382680154">
      <w:bodyDiv w:val="1"/>
      <w:marLeft w:val="0"/>
      <w:marRight w:val="0"/>
      <w:marTop w:val="0"/>
      <w:marBottom w:val="0"/>
      <w:divBdr>
        <w:top w:val="none" w:sz="0" w:space="0" w:color="auto"/>
        <w:left w:val="none" w:sz="0" w:space="0" w:color="auto"/>
        <w:bottom w:val="none" w:sz="0" w:space="0" w:color="auto"/>
        <w:right w:val="none" w:sz="0" w:space="0" w:color="auto"/>
      </w:divBdr>
    </w:div>
    <w:div w:id="458571665">
      <w:bodyDiv w:val="1"/>
      <w:marLeft w:val="0"/>
      <w:marRight w:val="0"/>
      <w:marTop w:val="0"/>
      <w:marBottom w:val="0"/>
      <w:divBdr>
        <w:top w:val="none" w:sz="0" w:space="0" w:color="auto"/>
        <w:left w:val="none" w:sz="0" w:space="0" w:color="auto"/>
        <w:bottom w:val="none" w:sz="0" w:space="0" w:color="auto"/>
        <w:right w:val="none" w:sz="0" w:space="0" w:color="auto"/>
      </w:divBdr>
    </w:div>
    <w:div w:id="470640644">
      <w:bodyDiv w:val="1"/>
      <w:marLeft w:val="0"/>
      <w:marRight w:val="0"/>
      <w:marTop w:val="0"/>
      <w:marBottom w:val="0"/>
      <w:divBdr>
        <w:top w:val="none" w:sz="0" w:space="0" w:color="auto"/>
        <w:left w:val="none" w:sz="0" w:space="0" w:color="auto"/>
        <w:bottom w:val="none" w:sz="0" w:space="0" w:color="auto"/>
        <w:right w:val="none" w:sz="0" w:space="0" w:color="auto"/>
      </w:divBdr>
    </w:div>
    <w:div w:id="476339688">
      <w:bodyDiv w:val="1"/>
      <w:marLeft w:val="0"/>
      <w:marRight w:val="0"/>
      <w:marTop w:val="0"/>
      <w:marBottom w:val="0"/>
      <w:divBdr>
        <w:top w:val="none" w:sz="0" w:space="0" w:color="auto"/>
        <w:left w:val="none" w:sz="0" w:space="0" w:color="auto"/>
        <w:bottom w:val="none" w:sz="0" w:space="0" w:color="auto"/>
        <w:right w:val="none" w:sz="0" w:space="0" w:color="auto"/>
      </w:divBdr>
    </w:div>
    <w:div w:id="565261849">
      <w:bodyDiv w:val="1"/>
      <w:marLeft w:val="0"/>
      <w:marRight w:val="0"/>
      <w:marTop w:val="0"/>
      <w:marBottom w:val="0"/>
      <w:divBdr>
        <w:top w:val="none" w:sz="0" w:space="0" w:color="auto"/>
        <w:left w:val="none" w:sz="0" w:space="0" w:color="auto"/>
        <w:bottom w:val="none" w:sz="0" w:space="0" w:color="auto"/>
        <w:right w:val="none" w:sz="0" w:space="0" w:color="auto"/>
      </w:divBdr>
    </w:div>
    <w:div w:id="585768600">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74067439">
      <w:bodyDiv w:val="1"/>
      <w:marLeft w:val="0"/>
      <w:marRight w:val="0"/>
      <w:marTop w:val="0"/>
      <w:marBottom w:val="0"/>
      <w:divBdr>
        <w:top w:val="none" w:sz="0" w:space="0" w:color="auto"/>
        <w:left w:val="none" w:sz="0" w:space="0" w:color="auto"/>
        <w:bottom w:val="none" w:sz="0" w:space="0" w:color="auto"/>
        <w:right w:val="none" w:sz="0" w:space="0" w:color="auto"/>
      </w:divBdr>
    </w:div>
    <w:div w:id="772625613">
      <w:bodyDiv w:val="1"/>
      <w:marLeft w:val="0"/>
      <w:marRight w:val="0"/>
      <w:marTop w:val="0"/>
      <w:marBottom w:val="0"/>
      <w:divBdr>
        <w:top w:val="none" w:sz="0" w:space="0" w:color="auto"/>
        <w:left w:val="none" w:sz="0" w:space="0" w:color="auto"/>
        <w:bottom w:val="none" w:sz="0" w:space="0" w:color="auto"/>
        <w:right w:val="none" w:sz="0" w:space="0" w:color="auto"/>
      </w:divBdr>
    </w:div>
    <w:div w:id="820314339">
      <w:bodyDiv w:val="1"/>
      <w:marLeft w:val="0"/>
      <w:marRight w:val="0"/>
      <w:marTop w:val="0"/>
      <w:marBottom w:val="0"/>
      <w:divBdr>
        <w:top w:val="none" w:sz="0" w:space="0" w:color="auto"/>
        <w:left w:val="none" w:sz="0" w:space="0" w:color="auto"/>
        <w:bottom w:val="none" w:sz="0" w:space="0" w:color="auto"/>
        <w:right w:val="none" w:sz="0" w:space="0" w:color="auto"/>
      </w:divBdr>
    </w:div>
    <w:div w:id="911739658">
      <w:bodyDiv w:val="1"/>
      <w:marLeft w:val="0"/>
      <w:marRight w:val="0"/>
      <w:marTop w:val="0"/>
      <w:marBottom w:val="0"/>
      <w:divBdr>
        <w:top w:val="none" w:sz="0" w:space="0" w:color="auto"/>
        <w:left w:val="none" w:sz="0" w:space="0" w:color="auto"/>
        <w:bottom w:val="none" w:sz="0" w:space="0" w:color="auto"/>
        <w:right w:val="none" w:sz="0" w:space="0" w:color="auto"/>
      </w:divBdr>
    </w:div>
    <w:div w:id="924726436">
      <w:bodyDiv w:val="1"/>
      <w:marLeft w:val="0"/>
      <w:marRight w:val="0"/>
      <w:marTop w:val="0"/>
      <w:marBottom w:val="0"/>
      <w:divBdr>
        <w:top w:val="none" w:sz="0" w:space="0" w:color="auto"/>
        <w:left w:val="none" w:sz="0" w:space="0" w:color="auto"/>
        <w:bottom w:val="none" w:sz="0" w:space="0" w:color="auto"/>
        <w:right w:val="none" w:sz="0" w:space="0" w:color="auto"/>
      </w:divBdr>
    </w:div>
    <w:div w:id="983974779">
      <w:bodyDiv w:val="1"/>
      <w:marLeft w:val="0"/>
      <w:marRight w:val="0"/>
      <w:marTop w:val="0"/>
      <w:marBottom w:val="0"/>
      <w:divBdr>
        <w:top w:val="none" w:sz="0" w:space="0" w:color="auto"/>
        <w:left w:val="none" w:sz="0" w:space="0" w:color="auto"/>
        <w:bottom w:val="none" w:sz="0" w:space="0" w:color="auto"/>
        <w:right w:val="none" w:sz="0" w:space="0" w:color="auto"/>
      </w:divBdr>
    </w:div>
    <w:div w:id="1017656919">
      <w:bodyDiv w:val="1"/>
      <w:marLeft w:val="0"/>
      <w:marRight w:val="0"/>
      <w:marTop w:val="0"/>
      <w:marBottom w:val="0"/>
      <w:divBdr>
        <w:top w:val="none" w:sz="0" w:space="0" w:color="auto"/>
        <w:left w:val="none" w:sz="0" w:space="0" w:color="auto"/>
        <w:bottom w:val="none" w:sz="0" w:space="0" w:color="auto"/>
        <w:right w:val="none" w:sz="0" w:space="0" w:color="auto"/>
      </w:divBdr>
    </w:div>
    <w:div w:id="1041056751">
      <w:bodyDiv w:val="1"/>
      <w:marLeft w:val="0"/>
      <w:marRight w:val="0"/>
      <w:marTop w:val="0"/>
      <w:marBottom w:val="0"/>
      <w:divBdr>
        <w:top w:val="none" w:sz="0" w:space="0" w:color="auto"/>
        <w:left w:val="none" w:sz="0" w:space="0" w:color="auto"/>
        <w:bottom w:val="none" w:sz="0" w:space="0" w:color="auto"/>
        <w:right w:val="none" w:sz="0" w:space="0" w:color="auto"/>
      </w:divBdr>
    </w:div>
    <w:div w:id="1177115499">
      <w:bodyDiv w:val="1"/>
      <w:marLeft w:val="0"/>
      <w:marRight w:val="0"/>
      <w:marTop w:val="0"/>
      <w:marBottom w:val="0"/>
      <w:divBdr>
        <w:top w:val="none" w:sz="0" w:space="0" w:color="auto"/>
        <w:left w:val="none" w:sz="0" w:space="0" w:color="auto"/>
        <w:bottom w:val="none" w:sz="0" w:space="0" w:color="auto"/>
        <w:right w:val="none" w:sz="0" w:space="0" w:color="auto"/>
      </w:divBdr>
    </w:div>
    <w:div w:id="1250189554">
      <w:bodyDiv w:val="1"/>
      <w:marLeft w:val="0"/>
      <w:marRight w:val="0"/>
      <w:marTop w:val="0"/>
      <w:marBottom w:val="0"/>
      <w:divBdr>
        <w:top w:val="none" w:sz="0" w:space="0" w:color="auto"/>
        <w:left w:val="none" w:sz="0" w:space="0" w:color="auto"/>
        <w:bottom w:val="none" w:sz="0" w:space="0" w:color="auto"/>
        <w:right w:val="none" w:sz="0" w:space="0" w:color="auto"/>
      </w:divBdr>
    </w:div>
    <w:div w:id="1266306734">
      <w:bodyDiv w:val="1"/>
      <w:marLeft w:val="0"/>
      <w:marRight w:val="0"/>
      <w:marTop w:val="0"/>
      <w:marBottom w:val="0"/>
      <w:divBdr>
        <w:top w:val="none" w:sz="0" w:space="0" w:color="auto"/>
        <w:left w:val="none" w:sz="0" w:space="0" w:color="auto"/>
        <w:bottom w:val="none" w:sz="0" w:space="0" w:color="auto"/>
        <w:right w:val="none" w:sz="0" w:space="0" w:color="auto"/>
      </w:divBdr>
    </w:div>
    <w:div w:id="1331909454">
      <w:bodyDiv w:val="1"/>
      <w:marLeft w:val="0"/>
      <w:marRight w:val="0"/>
      <w:marTop w:val="0"/>
      <w:marBottom w:val="0"/>
      <w:divBdr>
        <w:top w:val="none" w:sz="0" w:space="0" w:color="auto"/>
        <w:left w:val="none" w:sz="0" w:space="0" w:color="auto"/>
        <w:bottom w:val="none" w:sz="0" w:space="0" w:color="auto"/>
        <w:right w:val="none" w:sz="0" w:space="0" w:color="auto"/>
      </w:divBdr>
    </w:div>
    <w:div w:id="1577203173">
      <w:bodyDiv w:val="1"/>
      <w:marLeft w:val="0"/>
      <w:marRight w:val="0"/>
      <w:marTop w:val="0"/>
      <w:marBottom w:val="0"/>
      <w:divBdr>
        <w:top w:val="none" w:sz="0" w:space="0" w:color="auto"/>
        <w:left w:val="none" w:sz="0" w:space="0" w:color="auto"/>
        <w:bottom w:val="none" w:sz="0" w:space="0" w:color="auto"/>
        <w:right w:val="none" w:sz="0" w:space="0" w:color="auto"/>
      </w:divBdr>
    </w:div>
    <w:div w:id="1621259251">
      <w:bodyDiv w:val="1"/>
      <w:marLeft w:val="0"/>
      <w:marRight w:val="0"/>
      <w:marTop w:val="0"/>
      <w:marBottom w:val="0"/>
      <w:divBdr>
        <w:top w:val="none" w:sz="0" w:space="0" w:color="auto"/>
        <w:left w:val="none" w:sz="0" w:space="0" w:color="auto"/>
        <w:bottom w:val="none" w:sz="0" w:space="0" w:color="auto"/>
        <w:right w:val="none" w:sz="0" w:space="0" w:color="auto"/>
      </w:divBdr>
    </w:div>
    <w:div w:id="1624388854">
      <w:bodyDiv w:val="1"/>
      <w:marLeft w:val="0"/>
      <w:marRight w:val="0"/>
      <w:marTop w:val="0"/>
      <w:marBottom w:val="0"/>
      <w:divBdr>
        <w:top w:val="none" w:sz="0" w:space="0" w:color="auto"/>
        <w:left w:val="none" w:sz="0" w:space="0" w:color="auto"/>
        <w:bottom w:val="none" w:sz="0" w:space="0" w:color="auto"/>
        <w:right w:val="none" w:sz="0" w:space="0" w:color="auto"/>
      </w:divBdr>
    </w:div>
    <w:div w:id="1653169732">
      <w:bodyDiv w:val="1"/>
      <w:marLeft w:val="0"/>
      <w:marRight w:val="0"/>
      <w:marTop w:val="0"/>
      <w:marBottom w:val="0"/>
      <w:divBdr>
        <w:top w:val="none" w:sz="0" w:space="0" w:color="auto"/>
        <w:left w:val="none" w:sz="0" w:space="0" w:color="auto"/>
        <w:bottom w:val="none" w:sz="0" w:space="0" w:color="auto"/>
        <w:right w:val="none" w:sz="0" w:space="0" w:color="auto"/>
      </w:divBdr>
    </w:div>
    <w:div w:id="1774351042">
      <w:bodyDiv w:val="1"/>
      <w:marLeft w:val="0"/>
      <w:marRight w:val="0"/>
      <w:marTop w:val="0"/>
      <w:marBottom w:val="0"/>
      <w:divBdr>
        <w:top w:val="none" w:sz="0" w:space="0" w:color="auto"/>
        <w:left w:val="none" w:sz="0" w:space="0" w:color="auto"/>
        <w:bottom w:val="none" w:sz="0" w:space="0" w:color="auto"/>
        <w:right w:val="none" w:sz="0" w:space="0" w:color="auto"/>
      </w:divBdr>
    </w:div>
    <w:div w:id="1782608814">
      <w:bodyDiv w:val="1"/>
      <w:marLeft w:val="0"/>
      <w:marRight w:val="0"/>
      <w:marTop w:val="0"/>
      <w:marBottom w:val="0"/>
      <w:divBdr>
        <w:top w:val="none" w:sz="0" w:space="0" w:color="auto"/>
        <w:left w:val="none" w:sz="0" w:space="0" w:color="auto"/>
        <w:bottom w:val="none" w:sz="0" w:space="0" w:color="auto"/>
        <w:right w:val="none" w:sz="0" w:space="0" w:color="auto"/>
      </w:divBdr>
    </w:div>
    <w:div w:id="1837725931">
      <w:bodyDiv w:val="1"/>
      <w:marLeft w:val="0"/>
      <w:marRight w:val="0"/>
      <w:marTop w:val="0"/>
      <w:marBottom w:val="0"/>
      <w:divBdr>
        <w:top w:val="none" w:sz="0" w:space="0" w:color="auto"/>
        <w:left w:val="none" w:sz="0" w:space="0" w:color="auto"/>
        <w:bottom w:val="none" w:sz="0" w:space="0" w:color="auto"/>
        <w:right w:val="none" w:sz="0" w:space="0" w:color="auto"/>
      </w:divBdr>
    </w:div>
    <w:div w:id="1870680271">
      <w:bodyDiv w:val="1"/>
      <w:marLeft w:val="0"/>
      <w:marRight w:val="0"/>
      <w:marTop w:val="0"/>
      <w:marBottom w:val="0"/>
      <w:divBdr>
        <w:top w:val="none" w:sz="0" w:space="0" w:color="auto"/>
        <w:left w:val="none" w:sz="0" w:space="0" w:color="auto"/>
        <w:bottom w:val="none" w:sz="0" w:space="0" w:color="auto"/>
        <w:right w:val="none" w:sz="0" w:space="0" w:color="auto"/>
      </w:divBdr>
    </w:div>
    <w:div w:id="1908883071">
      <w:bodyDiv w:val="1"/>
      <w:marLeft w:val="0"/>
      <w:marRight w:val="0"/>
      <w:marTop w:val="0"/>
      <w:marBottom w:val="0"/>
      <w:divBdr>
        <w:top w:val="none" w:sz="0" w:space="0" w:color="auto"/>
        <w:left w:val="none" w:sz="0" w:space="0" w:color="auto"/>
        <w:bottom w:val="none" w:sz="0" w:space="0" w:color="auto"/>
        <w:right w:val="none" w:sz="0" w:space="0" w:color="auto"/>
      </w:divBdr>
    </w:div>
    <w:div w:id="1913083763">
      <w:bodyDiv w:val="1"/>
      <w:marLeft w:val="0"/>
      <w:marRight w:val="0"/>
      <w:marTop w:val="0"/>
      <w:marBottom w:val="0"/>
      <w:divBdr>
        <w:top w:val="none" w:sz="0" w:space="0" w:color="auto"/>
        <w:left w:val="none" w:sz="0" w:space="0" w:color="auto"/>
        <w:bottom w:val="none" w:sz="0" w:space="0" w:color="auto"/>
        <w:right w:val="none" w:sz="0" w:space="0" w:color="auto"/>
      </w:divBdr>
    </w:div>
    <w:div w:id="1937132770">
      <w:bodyDiv w:val="1"/>
      <w:marLeft w:val="0"/>
      <w:marRight w:val="0"/>
      <w:marTop w:val="0"/>
      <w:marBottom w:val="0"/>
      <w:divBdr>
        <w:top w:val="none" w:sz="0" w:space="0" w:color="auto"/>
        <w:left w:val="none" w:sz="0" w:space="0" w:color="auto"/>
        <w:bottom w:val="none" w:sz="0" w:space="0" w:color="auto"/>
        <w:right w:val="none" w:sz="0" w:space="0" w:color="auto"/>
      </w:divBdr>
    </w:div>
    <w:div w:id="1945922517">
      <w:bodyDiv w:val="1"/>
      <w:marLeft w:val="0"/>
      <w:marRight w:val="0"/>
      <w:marTop w:val="0"/>
      <w:marBottom w:val="0"/>
      <w:divBdr>
        <w:top w:val="none" w:sz="0" w:space="0" w:color="auto"/>
        <w:left w:val="none" w:sz="0" w:space="0" w:color="auto"/>
        <w:bottom w:val="none" w:sz="0" w:space="0" w:color="auto"/>
        <w:right w:val="none" w:sz="0" w:space="0" w:color="auto"/>
      </w:divBdr>
    </w:div>
    <w:div w:id="1959793887">
      <w:bodyDiv w:val="1"/>
      <w:marLeft w:val="0"/>
      <w:marRight w:val="0"/>
      <w:marTop w:val="0"/>
      <w:marBottom w:val="0"/>
      <w:divBdr>
        <w:top w:val="none" w:sz="0" w:space="0" w:color="auto"/>
        <w:left w:val="none" w:sz="0" w:space="0" w:color="auto"/>
        <w:bottom w:val="none" w:sz="0" w:space="0" w:color="auto"/>
        <w:right w:val="none" w:sz="0" w:space="0" w:color="auto"/>
      </w:divBdr>
    </w:div>
    <w:div w:id="2031099259">
      <w:bodyDiv w:val="1"/>
      <w:marLeft w:val="0"/>
      <w:marRight w:val="0"/>
      <w:marTop w:val="0"/>
      <w:marBottom w:val="0"/>
      <w:divBdr>
        <w:top w:val="none" w:sz="0" w:space="0" w:color="auto"/>
        <w:left w:val="none" w:sz="0" w:space="0" w:color="auto"/>
        <w:bottom w:val="none" w:sz="0" w:space="0" w:color="auto"/>
        <w:right w:val="none" w:sz="0" w:space="0" w:color="auto"/>
      </w:divBdr>
    </w:div>
    <w:div w:id="211478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2</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3</b:RefOrder>
  </b:Source>
  <b:Source>
    <b:Tag>MCC18</b:Tag>
    <b:SourceType>Report</b:SourceType>
    <b:Guid>{8B97B8F5-C0D7-4585-B18F-E578FCABC9A2}</b:Guid>
    <b:Title>Draft Report of 3GPP TSG RAN WG1 #95 v0.2.0</b:Title>
    <b:Year>12-16 November 2018</b:Year>
    <b:City>Spokane, WA USA</b:City>
    <b:Author>
      <b:Author>
        <b:Corporate>MCC Support</b:Corporate>
      </b:Author>
    </b:Author>
    <b:RefOrder>4</b:RefOrder>
  </b:Source>
  <b:Source>
    <b:Tag>Sam18</b:Tag>
    <b:SourceType>Report</b:SourceType>
    <b:Guid>{976AD324-3862-4024-A5CE-6B728D364DD9}</b:Guid>
    <b:Author>
      <b:Author>
        <b:Corporate>Samsung, R1-1813002</b:Corporate>
      </b:Author>
    </b:Author>
    <b:Title>Summary of CSI enhancement for MU-MIMO support</b:Title>
    <b:Year>12-16 November 2018</b:Year>
    <b:City>RAN1#95</b:City>
    <b:RefOrder>5</b:RefOrder>
  </b:Source>
  <b:Source>
    <b:Tag>Sam183</b:Tag>
    <b:SourceType>Report</b:SourceType>
    <b:Guid>{DA12C53A-E286-439A-98E3-05E457F1C9DE}</b:Guid>
    <b:Author>
      <b:Author>
        <b:Corporate>Samsung, R1-1814201</b:Corporate>
      </b:Author>
    </b:Author>
    <b:Title>Outcome of offline session for CSI enhancement for MU-MIMO support</b:Title>
    <b:Year>12-15 November 2018</b:Year>
    <b:City>Spokane, WA, USA</b:City>
    <b:RefOrder>6</b:RefOrder>
  </b:Source>
  <b:Source>
    <b:Tag>3GP18</b:Tag>
    <b:SourceType>Book</b:SourceType>
    <b:Guid>{17534DC3-6D55-4871-9480-17F106B5C329}</b:Guid>
    <b:Author>
      <b:Author>
        <b:NameList>
          <b:Person>
            <b:Last>3GPP</b:Last>
          </b:Person>
        </b:NameList>
      </b:Author>
    </b:Author>
    <b:Title>Chairman's notes RAN1 94b final</b:Title>
    <b:Year>2018</b:Year>
    <b:RefOrder>7</b:RefOrder>
  </b:Source>
  <b:Source>
    <b:Tag>Nok181</b:Tag>
    <b:SourceType>Book</b:SourceType>
    <b:Guid>{1623E235-8512-4A4A-B03C-C89CC895B547}</b:Guid>
    <b:Author>
      <b:Author>
        <b:NameList>
          <b:Person>
            <b:Last>Nokia/NSB</b:Last>
          </b:Person>
        </b:NameList>
      </b:Author>
    </b:Author>
    <b:Title>R1-1811406, "CSI Enhancements for MU-MIMO Support"</b:Title>
    <b:Year>2018</b:Year>
    <b:RefOrder>8</b:RefOrder>
  </b:Source>
  <b:Source>
    <b:Tag>Böl08</b:Tag>
    <b:SourceType>Book</b:SourceType>
    <b:Guid>{738139CD-4B87-4727-BB8F-F80854F27C75}</b:Guid>
    <b:Author>
      <b:Author>
        <b:NameList>
          <b:Person>
            <b:Last>Bölcskei</b:Last>
            <b:First>H.</b:First>
          </b:Person>
          <b:Person>
            <b:Last>Gesbert</b:Last>
            <b:First>D.</b:First>
          </b:Person>
          <b:Person>
            <b:Last>Papadias</b:Last>
            <b:First>C.</b:First>
            <b:Middle>B.</b:Middle>
          </b:Person>
          <b:Person>
            <b:Last>Veen</b:Last>
            <b:First>A.-J.</b:First>
            <b:Middle>van der</b:Middle>
          </b:Person>
        </b:NameList>
      </b:Author>
    </b:Author>
    <b:Title>Space-Time Wireless Systems: From Array Processing to MIMO Communications</b:Title>
    <b:Year>2008</b:Year>
    <b:Publisher>Cambridge University Press</b:Publisher>
    <b:RefOrder>9</b:RefOrder>
  </b:Source>
  <b:Source>
    <b:Tag>3GP19</b:Tag>
    <b:SourceType>Report</b:SourceType>
    <b:Guid>{C0F99C22-684A-4F5E-950A-EBC669315D24}</b:Guid>
    <b:Author>
      <b:Author>
        <b:Corporate>3GPP</b:Corporate>
      </b:Author>
    </b:Author>
    <b:Title>RAN1 Chairman's Notes RAN1#97</b:Title>
    <b:Year>8 April - 12 April 2019</b:Year>
    <b:City>Xi'an, People's Republic of China</b:City>
    <b:RefOrder>1</b:RefOrder>
  </b:Source>
</b:Sources>
</file>

<file path=customXml/itemProps1.xml><?xml version="1.0" encoding="utf-8"?>
<ds:datastoreItem xmlns:ds="http://schemas.openxmlformats.org/officeDocument/2006/customXml" ds:itemID="{857AFAC1-0D85-42F5-875B-035BF30C1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1926</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6</cp:revision>
  <dcterms:created xsi:type="dcterms:W3CDTF">2019-05-13T01:24:00Z</dcterms:created>
  <dcterms:modified xsi:type="dcterms:W3CDTF">2019-05-13T04:59:00Z</dcterms:modified>
</cp:coreProperties>
</file>